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60" w:lineRule="exact"/>
        <w:ind w:left="0" w:leftChars="0" w:firstLine="562" w:firstLineChars="200"/>
        <w:jc w:val="center"/>
        <w:textAlignment w:val="auto"/>
        <w:rPr>
          <w:rFonts w:hint="eastAsia" w:ascii="宋体" w:hAnsi="宋体" w:eastAsia="宋体" w:cs="宋体"/>
          <w:b/>
          <w:kern w:val="0"/>
          <w:sz w:val="28"/>
          <w:szCs w:val="28"/>
        </w:rPr>
      </w:pPr>
      <w:bookmarkStart w:id="0" w:name="_Hlk70355250"/>
      <w:bookmarkStart w:id="1" w:name="_Toc70450289"/>
    </w:p>
    <w:p>
      <w:pPr>
        <w:pageBreakBefore w:val="0"/>
        <w:kinsoku/>
        <w:wordWrap/>
        <w:overflowPunct/>
        <w:topLinePunct w:val="0"/>
        <w:autoSpaceDE/>
        <w:autoSpaceDN/>
        <w:bidi w:val="0"/>
        <w:adjustRightInd/>
        <w:spacing w:line="560" w:lineRule="exact"/>
        <w:ind w:left="0" w:leftChars="0" w:firstLine="562" w:firstLineChars="200"/>
        <w:jc w:val="center"/>
        <w:textAlignment w:val="auto"/>
        <w:rPr>
          <w:rFonts w:hint="eastAsia" w:ascii="宋体" w:hAnsi="宋体" w:eastAsia="宋体" w:cs="宋体"/>
          <w:b/>
          <w:kern w:val="0"/>
          <w:sz w:val="28"/>
          <w:szCs w:val="28"/>
        </w:rPr>
      </w:pPr>
    </w:p>
    <w:p>
      <w:pPr>
        <w:pageBreakBefore w:val="0"/>
        <w:kinsoku/>
        <w:wordWrap/>
        <w:overflowPunct/>
        <w:topLinePunct w:val="0"/>
        <w:autoSpaceDE/>
        <w:autoSpaceDN/>
        <w:bidi w:val="0"/>
        <w:adjustRightInd/>
        <w:spacing w:line="560" w:lineRule="exact"/>
        <w:ind w:left="0" w:leftChars="0" w:firstLine="562" w:firstLineChars="200"/>
        <w:jc w:val="center"/>
        <w:textAlignment w:val="auto"/>
        <w:rPr>
          <w:rFonts w:hint="eastAsia" w:ascii="宋体" w:hAnsi="宋体" w:eastAsia="宋体" w:cs="宋体"/>
          <w:b/>
          <w:kern w:val="0"/>
          <w:sz w:val="28"/>
          <w:szCs w:val="28"/>
        </w:rPr>
      </w:pPr>
    </w:p>
    <w:p>
      <w:pPr>
        <w:pageBreakBefore w:val="0"/>
        <w:kinsoku/>
        <w:wordWrap/>
        <w:overflowPunct/>
        <w:topLinePunct w:val="0"/>
        <w:autoSpaceDE/>
        <w:autoSpaceDN/>
        <w:bidi w:val="0"/>
        <w:adjustRightInd/>
        <w:spacing w:line="560" w:lineRule="exact"/>
        <w:ind w:left="0" w:leftChars="0" w:firstLine="562" w:firstLineChars="200"/>
        <w:jc w:val="center"/>
        <w:textAlignment w:val="auto"/>
        <w:rPr>
          <w:rFonts w:hint="eastAsia" w:ascii="宋体" w:hAnsi="宋体" w:eastAsia="宋体" w:cs="宋体"/>
          <w:b/>
          <w:kern w:val="0"/>
          <w:sz w:val="28"/>
          <w:szCs w:val="2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伊犁州特克斯县八卦名城旅游风景区管理委员会部门单位整体支出绩效自评报告</w:t>
      </w:r>
    </w:p>
    <w:bookmarkEnd w:id="0"/>
    <w:p>
      <w:pPr>
        <w:spacing w:line="540" w:lineRule="exact"/>
        <w:jc w:val="center"/>
        <w:rPr>
          <w:rFonts w:hint="eastAsia" w:ascii="方正小标宋_GBK" w:hAnsi="华文中宋" w:eastAsia="方正小标宋_GBK" w:cs="宋体"/>
          <w:b/>
          <w:kern w:val="0"/>
          <w:sz w:val="48"/>
          <w:szCs w:val="48"/>
        </w:rPr>
      </w:pPr>
    </w:p>
    <w:p>
      <w:pPr>
        <w:pageBreakBefore w:val="0"/>
        <w:kinsoku/>
        <w:wordWrap/>
        <w:overflowPunct/>
        <w:topLinePunct w:val="0"/>
        <w:autoSpaceDE/>
        <w:autoSpaceDN/>
        <w:bidi w:val="0"/>
        <w:adjustRightInd/>
        <w:spacing w:line="560" w:lineRule="exact"/>
        <w:ind w:left="0" w:leftChars="0" w:firstLine="720" w:firstLineChars="200"/>
        <w:jc w:val="center"/>
        <w:textAlignment w:val="auto"/>
        <w:rPr>
          <w:rFonts w:hint="eastAsia" w:ascii="黑体" w:hAnsi="黑体" w:eastAsia="黑体" w:cs="黑体"/>
          <w:kern w:val="0"/>
          <w:sz w:val="36"/>
          <w:szCs w:val="36"/>
        </w:rPr>
      </w:pPr>
    </w:p>
    <w:p>
      <w:pPr>
        <w:pageBreakBefore w:val="0"/>
        <w:kinsoku/>
        <w:wordWrap/>
        <w:overflowPunct/>
        <w:topLinePunct w:val="0"/>
        <w:autoSpaceDE/>
        <w:autoSpaceDN/>
        <w:bidi w:val="0"/>
        <w:adjustRightInd/>
        <w:spacing w:line="560" w:lineRule="exact"/>
        <w:ind w:left="0" w:leftChars="0" w:firstLine="720" w:firstLineChars="200"/>
        <w:jc w:val="center"/>
        <w:textAlignment w:val="auto"/>
        <w:rPr>
          <w:rFonts w:hint="eastAsia" w:ascii="黑体" w:hAnsi="黑体" w:eastAsia="黑体" w:cs="黑体"/>
          <w:kern w:val="0"/>
          <w:sz w:val="36"/>
          <w:szCs w:val="36"/>
        </w:rPr>
      </w:pPr>
    </w:p>
    <w:p>
      <w:pPr>
        <w:pageBreakBefore w:val="0"/>
        <w:kinsoku/>
        <w:wordWrap/>
        <w:overflowPunct/>
        <w:topLinePunct w:val="0"/>
        <w:autoSpaceDE/>
        <w:autoSpaceDN/>
        <w:bidi w:val="0"/>
        <w:adjustRightInd/>
        <w:spacing w:line="560" w:lineRule="exact"/>
        <w:ind w:left="0" w:leftChars="0" w:firstLine="720" w:firstLineChars="200"/>
        <w:jc w:val="center"/>
        <w:textAlignment w:val="auto"/>
        <w:rPr>
          <w:rFonts w:hint="eastAsia" w:ascii="黑体" w:hAnsi="黑体" w:eastAsia="黑体" w:cs="黑体"/>
          <w:kern w:val="0"/>
          <w:sz w:val="36"/>
          <w:szCs w:val="36"/>
        </w:rPr>
      </w:pPr>
    </w:p>
    <w:p>
      <w:pPr>
        <w:pageBreakBefore w:val="0"/>
        <w:kinsoku/>
        <w:wordWrap/>
        <w:overflowPunct/>
        <w:topLinePunct w:val="0"/>
        <w:autoSpaceDE/>
        <w:autoSpaceDN/>
        <w:bidi w:val="0"/>
        <w:adjustRightInd/>
        <w:spacing w:line="560" w:lineRule="exact"/>
        <w:ind w:left="0" w:leftChars="0" w:firstLine="720" w:firstLineChars="200"/>
        <w:jc w:val="center"/>
        <w:textAlignment w:val="auto"/>
        <w:rPr>
          <w:rFonts w:hint="eastAsia" w:ascii="黑体" w:hAnsi="黑体" w:eastAsia="黑体" w:cs="黑体"/>
          <w:kern w:val="0"/>
          <w:sz w:val="36"/>
          <w:szCs w:val="36"/>
        </w:rPr>
      </w:pPr>
    </w:p>
    <w:p>
      <w:pPr>
        <w:pageBreakBefore w:val="0"/>
        <w:kinsoku/>
        <w:wordWrap/>
        <w:overflowPunct/>
        <w:topLinePunct w:val="0"/>
        <w:autoSpaceDE/>
        <w:autoSpaceDN/>
        <w:bidi w:val="0"/>
        <w:adjustRightInd/>
        <w:spacing w:line="560" w:lineRule="exact"/>
        <w:ind w:left="0" w:leftChars="0" w:firstLine="720" w:firstLineChars="200"/>
        <w:jc w:val="center"/>
        <w:textAlignment w:val="auto"/>
        <w:rPr>
          <w:rFonts w:hint="eastAsia" w:ascii="黑体" w:hAnsi="黑体" w:eastAsia="黑体" w:cs="黑体"/>
          <w:kern w:val="0"/>
          <w:sz w:val="36"/>
          <w:szCs w:val="36"/>
        </w:rPr>
      </w:pPr>
      <w:r>
        <w:rPr>
          <w:rFonts w:hint="eastAsia" w:ascii="黑体" w:hAnsi="黑体" w:eastAsia="黑体" w:cs="黑体"/>
          <w:kern w:val="0"/>
          <w:sz w:val="36"/>
          <w:szCs w:val="36"/>
        </w:rPr>
        <w:t>（2021年度）</w:t>
      </w:r>
    </w:p>
    <w:p>
      <w:pPr>
        <w:pStyle w:val="2"/>
        <w:rPr>
          <w:rFonts w:hint="eastAsia" w:ascii="黑体" w:hAnsi="黑体" w:eastAsia="黑体" w:cs="黑体"/>
          <w:kern w:val="0"/>
          <w:sz w:val="36"/>
          <w:szCs w:val="36"/>
        </w:rPr>
      </w:pPr>
    </w:p>
    <w:p>
      <w:pPr>
        <w:rPr>
          <w:rFonts w:hint="eastAsia" w:ascii="黑体" w:hAnsi="黑体" w:eastAsia="黑体" w:cs="黑体"/>
          <w:kern w:val="0"/>
          <w:sz w:val="36"/>
          <w:szCs w:val="36"/>
        </w:rPr>
      </w:pPr>
    </w:p>
    <w:p>
      <w:pPr>
        <w:pStyle w:val="2"/>
        <w:rPr>
          <w:rFonts w:hint="eastAsia" w:ascii="黑体" w:hAnsi="黑体" w:eastAsia="黑体" w:cs="黑体"/>
          <w:kern w:val="0"/>
          <w:sz w:val="36"/>
          <w:szCs w:val="36"/>
        </w:rPr>
      </w:pPr>
    </w:p>
    <w:p>
      <w:pPr>
        <w:rPr>
          <w:rFonts w:hint="eastAsia"/>
        </w:rPr>
      </w:pPr>
    </w:p>
    <w:p>
      <w:pPr>
        <w:pStyle w:val="2"/>
        <w:rPr>
          <w:rFonts w:hint="eastAsia"/>
        </w:rPr>
      </w:pPr>
    </w:p>
    <w:p>
      <w:pPr>
        <w:pageBreakBefore w:val="0"/>
        <w:kinsoku/>
        <w:wordWrap/>
        <w:overflowPunct/>
        <w:topLinePunct w:val="0"/>
        <w:autoSpaceDE/>
        <w:autoSpaceDN/>
        <w:bidi w:val="0"/>
        <w:adjustRightInd/>
        <w:spacing w:line="560" w:lineRule="exact"/>
        <w:ind w:left="0" w:leftChars="0"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 xml:space="preserve"> </w:t>
      </w:r>
    </w:p>
    <w:p>
      <w:pPr>
        <w:spacing w:line="700" w:lineRule="exact"/>
        <w:ind w:firstLine="849" w:firstLineChars="236"/>
        <w:jc w:val="left"/>
        <w:rPr>
          <w:rFonts w:hint="eastAsia" w:hAnsi="宋体" w:eastAsia="仿宋_GB2312" w:cs="宋体" w:asciiTheme="minorHAnsi"/>
          <w:kern w:val="0"/>
          <w:sz w:val="36"/>
          <w:szCs w:val="36"/>
        </w:rPr>
      </w:pPr>
      <w:r>
        <w:rPr>
          <w:rFonts w:hint="eastAsia" w:hAnsi="宋体" w:eastAsia="仿宋_GB2312" w:cs="宋体" w:asciiTheme="minorHAnsi"/>
          <w:kern w:val="0"/>
          <w:sz w:val="36"/>
          <w:szCs w:val="36"/>
        </w:rPr>
        <w:t>部门单位名称（公章）：特克斯县八卦名城旅游风景区管理委员会</w:t>
      </w:r>
    </w:p>
    <w:p>
      <w:pPr>
        <w:spacing w:line="700" w:lineRule="exact"/>
        <w:ind w:firstLine="849" w:firstLineChars="236"/>
        <w:jc w:val="left"/>
        <w:rPr>
          <w:rFonts w:hint="eastAsia" w:hAnsi="宋体" w:eastAsia="仿宋_GB2312" w:cs="宋体" w:asciiTheme="minorHAnsi"/>
          <w:kern w:val="0"/>
          <w:sz w:val="36"/>
          <w:szCs w:val="36"/>
        </w:rPr>
      </w:pPr>
      <w:r>
        <w:rPr>
          <w:rFonts w:hint="eastAsia" w:hAnsi="宋体" w:eastAsia="仿宋_GB2312" w:cs="宋体" w:asciiTheme="minorHAnsi"/>
          <w:kern w:val="0"/>
          <w:sz w:val="36"/>
          <w:szCs w:val="36"/>
        </w:rPr>
        <w:t>填报时间：2022 年4月28日</w:t>
      </w:r>
    </w:p>
    <w:p>
      <w:pPr>
        <w:pStyle w:val="5"/>
        <w:spacing w:line="360" w:lineRule="auto"/>
        <w:rPr>
          <w:rFonts w:hint="eastAsia" w:ascii="仿宋" w:hAnsi="仿宋" w:eastAsia="仿宋" w:cstheme="majorBidi"/>
          <w:sz w:val="36"/>
          <w:szCs w:val="36"/>
          <w:lang w:bidi="ar"/>
        </w:rPr>
      </w:pPr>
      <w:r>
        <w:rPr>
          <w:rFonts w:hint="eastAsia" w:ascii="仿宋" w:hAnsi="仿宋" w:eastAsia="仿宋" w:cstheme="majorBidi"/>
          <w:sz w:val="36"/>
          <w:szCs w:val="36"/>
          <w:lang w:bidi="ar"/>
        </w:rPr>
        <w:t>一、基本概况</w:t>
      </w:r>
    </w:p>
    <w:p>
      <w:pPr>
        <w:pStyle w:val="6"/>
        <w:spacing w:line="360" w:lineRule="auto"/>
        <w:rPr>
          <w:rStyle w:val="18"/>
          <w:rFonts w:hint="eastAsia" w:ascii="仿宋" w:hAnsi="仿宋" w:eastAsia="仿宋" w:cstheme="minorBidi"/>
          <w:b/>
          <w:bCs/>
        </w:rPr>
      </w:pPr>
      <w:r>
        <w:rPr>
          <w:rStyle w:val="18"/>
          <w:rFonts w:hint="eastAsia" w:ascii="仿宋" w:hAnsi="仿宋" w:eastAsia="仿宋" w:cstheme="minorBidi"/>
          <w:b/>
          <w:bCs/>
        </w:rPr>
        <w:t>（一）单位基本情况</w:t>
      </w:r>
    </w:p>
    <w:p>
      <w:pPr>
        <w:pStyle w:val="7"/>
        <w:spacing w:line="360" w:lineRule="auto"/>
        <w:ind w:firstLine="562" w:firstLineChars="200"/>
        <w:rPr>
          <w:rStyle w:val="18"/>
          <w:rFonts w:hint="eastAsia" w:ascii="仿宋" w:hAnsi="仿宋" w:eastAsia="仿宋" w:cstheme="minorBidi"/>
          <w:b/>
          <w:bCs/>
        </w:rPr>
      </w:pPr>
      <w:r>
        <w:rPr>
          <w:rStyle w:val="18"/>
          <w:rFonts w:hint="eastAsia" w:ascii="仿宋" w:hAnsi="仿宋" w:eastAsia="仿宋" w:cstheme="minorBidi"/>
          <w:b/>
          <w:bCs/>
        </w:rPr>
        <w:t>1、主要职能</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（1）贯彻执行国家、自治区、自治州有关旅游产业发展的方针政策和重大工作部署；落实县委、县政府对促进旅游产业发展的各项政策措施。</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（2）研究制定全县旅游景区发展战略目标、中长期发展规划和年度工作任务，统筹旅游景区发展。</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3）负责对5A级景区标准化建设和发展进行监督管理和综合协调；负责拟订景区相关政策，并组织实施；负责旅游景区专项资金的统筹使用；协调解决旅游景区发展的具体事项。（4）负责推进景区康养休闲度假体系建设；统筹景区旅游资源的规划、开发、整合、利用，协调整合旅游景区及关联行业、产业服务资源，统筹景区基础设施建设，完善景区公共服务体系。</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（5）负责景区旅游企业之间项目开发和旅游营销的联合，提高旅游业组织化程度；负责景区标准化建设和协作机制建设，提升景区硬件和软件服务水平。</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（6）负责景区相关项目的规划公示前审核；负责对景区拟收费和门票价格调整在物价部门审批前进行可行性论证。</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（7）负责协调旅游景区人才队伍建设、景区秩序、社会治安、服务质量、物价、卫生防疫、环境保护、安全生产、交通的监督检查；建立健全景区联合执法工作机制。</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（8）推动全县旅游业全域化发展。负责促进旅游景区与工业、农业、林业、畜牧业、养生医疗等相关产业以及城乡建设、交通设施等融合。</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（9）完成县委、县政府交办的其他工作。</w:t>
      </w:r>
    </w:p>
    <w:p>
      <w:pPr>
        <w:pStyle w:val="5"/>
        <w:pageBreakBefore w:val="0"/>
        <w:kinsoku/>
        <w:wordWrap/>
        <w:overflowPunct/>
        <w:topLinePunct w:val="0"/>
        <w:autoSpaceDE/>
        <w:autoSpaceDN/>
        <w:bidi w:val="0"/>
        <w:adjustRightInd/>
        <w:spacing w:before="0" w:after="0" w:line="360" w:lineRule="auto"/>
        <w:ind w:left="0" w:leftChars="0" w:firstLine="562" w:firstLineChars="200"/>
        <w:jc w:val="left"/>
        <w:textAlignment w:val="auto"/>
        <w:rPr>
          <w:rStyle w:val="18"/>
          <w:rFonts w:hint="eastAsia" w:ascii="宋体" w:hAnsi="宋体" w:eastAsia="宋体" w:cs="宋体"/>
          <w:b/>
          <w:bCs/>
          <w:sz w:val="28"/>
          <w:szCs w:val="28"/>
        </w:rPr>
      </w:pPr>
      <w:r>
        <w:rPr>
          <w:rStyle w:val="18"/>
          <w:rFonts w:hint="eastAsia" w:ascii="宋体" w:hAnsi="宋体" w:eastAsia="宋体" w:cs="宋体"/>
          <w:b/>
          <w:bCs/>
          <w:sz w:val="28"/>
          <w:szCs w:val="28"/>
        </w:rPr>
        <w:t>2、机构人员构成</w:t>
      </w:r>
    </w:p>
    <w:p>
      <w:pPr>
        <w:pageBreakBefore w:val="0"/>
        <w:kinsoku/>
        <w:wordWrap/>
        <w:overflowPunct/>
        <w:topLinePunct w:val="0"/>
        <w:autoSpaceDE/>
        <w:autoSpaceDN/>
        <w:bidi w:val="0"/>
        <w:adjustRightInd/>
        <w:spacing w:line="360" w:lineRule="auto"/>
        <w:ind w:left="0" w:leftChars="0" w:firstLine="544" w:firstLineChars="200"/>
        <w:jc w:val="left"/>
        <w:textAlignment w:val="auto"/>
        <w:rPr>
          <w:rStyle w:val="18"/>
          <w:rFonts w:hint="eastAsia" w:ascii="宋体" w:hAnsi="宋体" w:eastAsia="宋体" w:cs="宋体"/>
          <w:b w:val="0"/>
          <w:spacing w:val="-4"/>
          <w:sz w:val="28"/>
          <w:szCs w:val="28"/>
        </w:rPr>
      </w:pPr>
      <w:r>
        <w:rPr>
          <w:rStyle w:val="18"/>
          <w:rFonts w:hint="eastAsia" w:ascii="宋体" w:hAnsi="宋体" w:eastAsia="宋体" w:cs="宋体"/>
          <w:b w:val="0"/>
          <w:spacing w:val="-4"/>
          <w:sz w:val="28"/>
          <w:szCs w:val="28"/>
        </w:rPr>
        <w:t>（1）组织机构设置：</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特克斯县八卦名城旅游风景区管理委员会无下属预算单位，下设</w:t>
      </w:r>
      <w:r>
        <w:rPr>
          <w:rStyle w:val="18"/>
          <w:rFonts w:hint="eastAsia" w:ascii="仿宋_GB2312" w:hAnsi="楷体" w:eastAsia="仿宋_GB2312" w:cstheme="minorBidi"/>
          <w:b w:val="0"/>
          <w:spacing w:val="-4"/>
          <w:sz w:val="28"/>
          <w:szCs w:val="28"/>
          <w:lang w:val="en-US" w:eastAsia="zh-CN"/>
        </w:rPr>
        <w:t>4</w:t>
      </w:r>
      <w:r>
        <w:rPr>
          <w:rStyle w:val="18"/>
          <w:rFonts w:hint="eastAsia" w:ascii="仿宋_GB2312" w:hAnsi="楷体" w:eastAsia="仿宋_GB2312" w:cstheme="minorBidi"/>
          <w:b w:val="0"/>
          <w:spacing w:val="-4"/>
          <w:sz w:val="28"/>
          <w:szCs w:val="28"/>
        </w:rPr>
        <w:t>个处室，名称分别是：综合科、资源管理科、安全生产科、规划建设监督科。</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（2）2021年特克斯县八卦名城旅游风景区管理委员会实有在职人员为</w:t>
      </w:r>
      <w:r>
        <w:rPr>
          <w:rStyle w:val="18"/>
          <w:rFonts w:hint="eastAsia" w:ascii="仿宋_GB2312" w:hAnsi="楷体" w:eastAsia="仿宋_GB2312" w:cstheme="minorBidi"/>
          <w:b w:val="0"/>
          <w:spacing w:val="-4"/>
          <w:sz w:val="28"/>
          <w:szCs w:val="28"/>
          <w:lang w:val="en-US"/>
        </w:rPr>
        <w:t>2</w:t>
      </w:r>
      <w:r>
        <w:rPr>
          <w:rStyle w:val="18"/>
          <w:rFonts w:hint="eastAsia" w:ascii="仿宋_GB2312" w:hAnsi="楷体" w:eastAsia="仿宋_GB2312" w:cstheme="minorBidi"/>
          <w:b w:val="0"/>
          <w:spacing w:val="-4"/>
          <w:sz w:val="28"/>
          <w:szCs w:val="28"/>
          <w:lang w:val="en-US" w:eastAsia="zh-CN"/>
        </w:rPr>
        <w:t>2</w:t>
      </w:r>
      <w:r>
        <w:rPr>
          <w:rStyle w:val="18"/>
          <w:rFonts w:hint="eastAsia" w:ascii="仿宋_GB2312" w:hAnsi="楷体" w:eastAsia="仿宋_GB2312" w:cstheme="minorBidi"/>
          <w:b w:val="0"/>
          <w:spacing w:val="-4"/>
          <w:sz w:val="28"/>
          <w:szCs w:val="28"/>
        </w:rPr>
        <w:t>人，其中：</w:t>
      </w:r>
    </w:p>
    <w:p>
      <w:pPr>
        <w:spacing w:line="360" w:lineRule="auto"/>
        <w:ind w:firstLine="544" w:firstLineChars="200"/>
        <w:rPr>
          <w:rStyle w:val="18"/>
          <w:rFonts w:hint="eastAsia" w:ascii="仿宋_GB2312" w:hAnsi="楷体" w:eastAsia="仿宋_GB2312"/>
          <w:b w:val="0"/>
          <w:spacing w:val="-4"/>
          <w:sz w:val="28"/>
          <w:szCs w:val="28"/>
        </w:rPr>
      </w:pPr>
      <w:r>
        <w:rPr>
          <w:rStyle w:val="18"/>
          <w:rFonts w:hint="eastAsia" w:ascii="仿宋_GB2312" w:hAnsi="楷体" w:eastAsia="仿宋_GB2312"/>
          <w:b w:val="0"/>
          <w:spacing w:val="-4"/>
          <w:sz w:val="28"/>
          <w:szCs w:val="28"/>
        </w:rPr>
        <w:t>行政在职</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人（上年</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人），与上年一致</w:t>
      </w:r>
      <w:r>
        <w:rPr>
          <w:rStyle w:val="18"/>
          <w:rFonts w:hint="eastAsia" w:ascii="仿宋_GB2312" w:hAnsi="楷体" w:eastAsia="仿宋_GB2312"/>
          <w:b w:val="0"/>
          <w:spacing w:val="-4"/>
          <w:sz w:val="28"/>
          <w:szCs w:val="28"/>
        </w:rPr>
        <w:t>；</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lang w:eastAsia="zh-CN"/>
        </w:rPr>
        <w:t>事业</w:t>
      </w:r>
      <w:r>
        <w:rPr>
          <w:rStyle w:val="18"/>
          <w:rFonts w:hint="eastAsia" w:ascii="仿宋_GB2312" w:hAnsi="楷体" w:eastAsia="仿宋_GB2312" w:cstheme="minorBidi"/>
          <w:b w:val="0"/>
          <w:spacing w:val="-4"/>
          <w:sz w:val="28"/>
          <w:szCs w:val="28"/>
        </w:rPr>
        <w:t xml:space="preserve">在职 </w:t>
      </w:r>
      <w:r>
        <w:rPr>
          <w:rStyle w:val="18"/>
          <w:rFonts w:hint="eastAsia" w:ascii="仿宋_GB2312" w:hAnsi="楷体" w:eastAsia="仿宋_GB2312" w:cstheme="minorBidi"/>
          <w:b w:val="0"/>
          <w:spacing w:val="-4"/>
          <w:sz w:val="28"/>
          <w:szCs w:val="28"/>
          <w:lang w:val="en-US" w:eastAsia="zh-CN"/>
        </w:rPr>
        <w:t>22</w:t>
      </w:r>
      <w:r>
        <w:rPr>
          <w:rStyle w:val="18"/>
          <w:rFonts w:hint="eastAsia" w:ascii="仿宋_GB2312" w:hAnsi="楷体" w:eastAsia="仿宋_GB2312" w:cstheme="minorBidi"/>
          <w:b w:val="0"/>
          <w:spacing w:val="-4"/>
          <w:sz w:val="28"/>
          <w:szCs w:val="28"/>
        </w:rPr>
        <w:t xml:space="preserve"> 人（上年</w:t>
      </w:r>
      <w:r>
        <w:rPr>
          <w:rStyle w:val="18"/>
          <w:rFonts w:hint="eastAsia" w:ascii="仿宋_GB2312" w:hAnsi="楷体" w:eastAsia="仿宋_GB2312" w:cstheme="minorBidi"/>
          <w:b w:val="0"/>
          <w:spacing w:val="-4"/>
          <w:sz w:val="28"/>
          <w:szCs w:val="28"/>
          <w:lang w:val="en-US" w:eastAsia="zh-CN"/>
        </w:rPr>
        <w:t>16</w:t>
      </w:r>
      <w:r>
        <w:rPr>
          <w:rStyle w:val="18"/>
          <w:rFonts w:hint="eastAsia" w:ascii="仿宋_GB2312" w:hAnsi="楷体" w:eastAsia="仿宋_GB2312" w:cstheme="minorBidi"/>
          <w:b w:val="0"/>
          <w:spacing w:val="-4"/>
          <w:sz w:val="28"/>
          <w:szCs w:val="28"/>
        </w:rPr>
        <w:t>人），同比上年增加</w:t>
      </w:r>
      <w:r>
        <w:rPr>
          <w:rStyle w:val="18"/>
          <w:rFonts w:hint="eastAsia" w:ascii="仿宋_GB2312" w:hAnsi="楷体" w:eastAsia="仿宋_GB2312" w:cstheme="minorBidi"/>
          <w:b w:val="0"/>
          <w:spacing w:val="-4"/>
          <w:sz w:val="28"/>
          <w:szCs w:val="28"/>
          <w:lang w:val="en-US" w:eastAsia="zh-CN"/>
        </w:rPr>
        <w:t>6</w:t>
      </w:r>
      <w:r>
        <w:rPr>
          <w:rStyle w:val="18"/>
          <w:rFonts w:hint="eastAsia" w:ascii="仿宋_GB2312" w:hAnsi="楷体" w:eastAsia="仿宋_GB2312" w:cstheme="minorBidi"/>
          <w:b w:val="0"/>
          <w:spacing w:val="-4"/>
          <w:sz w:val="28"/>
          <w:szCs w:val="28"/>
        </w:rPr>
        <w:t xml:space="preserve"> 人；</w:t>
      </w:r>
    </w:p>
    <w:p>
      <w:pPr>
        <w:spacing w:line="360" w:lineRule="auto"/>
        <w:ind w:firstLine="544" w:firstLineChars="200"/>
        <w:rPr>
          <w:rStyle w:val="18"/>
          <w:rFonts w:hint="eastAsia" w:ascii="仿宋_GB2312" w:hAnsi="楷体" w:eastAsia="仿宋_GB2312" w:cstheme="minorBidi"/>
          <w:b w:val="0"/>
          <w:spacing w:val="-4"/>
          <w:sz w:val="28"/>
          <w:szCs w:val="28"/>
          <w:lang w:val="en-US" w:eastAsia="zh-CN"/>
        </w:rPr>
      </w:pPr>
      <w:r>
        <w:rPr>
          <w:rStyle w:val="18"/>
          <w:rFonts w:hint="eastAsia" w:ascii="仿宋_GB2312" w:hAnsi="楷体" w:eastAsia="仿宋_GB2312" w:cstheme="minorBidi"/>
          <w:b w:val="0"/>
          <w:spacing w:val="-4"/>
          <w:sz w:val="28"/>
          <w:szCs w:val="28"/>
        </w:rPr>
        <w:t>实有离休人员</w:t>
      </w:r>
      <w:r>
        <w:rPr>
          <w:rStyle w:val="18"/>
          <w:rFonts w:hint="eastAsia" w:ascii="仿宋_GB2312" w:hAnsi="楷体" w:eastAsia="仿宋_GB2312" w:cstheme="minorBidi"/>
          <w:b w:val="0"/>
          <w:spacing w:val="-4"/>
          <w:sz w:val="28"/>
          <w:szCs w:val="28"/>
          <w:lang w:val="en-US" w:eastAsia="zh-CN"/>
        </w:rPr>
        <w:t>0</w:t>
      </w:r>
      <w:r>
        <w:rPr>
          <w:rStyle w:val="18"/>
          <w:rFonts w:hint="eastAsia" w:ascii="仿宋_GB2312" w:hAnsi="楷体" w:eastAsia="仿宋_GB2312" w:cstheme="minorBidi"/>
          <w:b w:val="0"/>
          <w:spacing w:val="-4"/>
          <w:sz w:val="28"/>
          <w:szCs w:val="28"/>
        </w:rPr>
        <w:t>人（上年</w:t>
      </w:r>
      <w:r>
        <w:rPr>
          <w:rStyle w:val="18"/>
          <w:rFonts w:hint="eastAsia" w:ascii="仿宋_GB2312" w:hAnsi="楷体" w:eastAsia="仿宋_GB2312" w:cstheme="minorBidi"/>
          <w:b w:val="0"/>
          <w:spacing w:val="-4"/>
          <w:sz w:val="28"/>
          <w:szCs w:val="28"/>
          <w:lang w:val="en-US" w:eastAsia="zh-CN"/>
        </w:rPr>
        <w:t>0</w:t>
      </w:r>
      <w:r>
        <w:rPr>
          <w:rStyle w:val="18"/>
          <w:rFonts w:hint="eastAsia" w:ascii="仿宋_GB2312" w:hAnsi="楷体" w:eastAsia="仿宋_GB2312" w:cstheme="minorBidi"/>
          <w:b w:val="0"/>
          <w:spacing w:val="-4"/>
          <w:sz w:val="28"/>
          <w:szCs w:val="28"/>
        </w:rPr>
        <w:t>人）, 同比上年增加</w:t>
      </w:r>
      <w:r>
        <w:rPr>
          <w:rStyle w:val="18"/>
          <w:rFonts w:hint="eastAsia" w:ascii="仿宋_GB2312" w:hAnsi="楷体" w:eastAsia="仿宋_GB2312" w:cstheme="minorBidi"/>
          <w:b w:val="0"/>
          <w:spacing w:val="-4"/>
          <w:sz w:val="28"/>
          <w:szCs w:val="28"/>
          <w:lang w:val="en-US" w:eastAsia="zh-CN"/>
        </w:rPr>
        <w:t>0</w:t>
      </w:r>
      <w:r>
        <w:rPr>
          <w:rStyle w:val="18"/>
          <w:rFonts w:hint="eastAsia" w:ascii="仿宋_GB2312" w:hAnsi="楷体" w:eastAsia="仿宋_GB2312" w:cstheme="minorBidi"/>
          <w:b w:val="0"/>
          <w:spacing w:val="-4"/>
          <w:sz w:val="28"/>
          <w:szCs w:val="28"/>
        </w:rPr>
        <w:t xml:space="preserve"> 人</w:t>
      </w:r>
      <w:r>
        <w:rPr>
          <w:rStyle w:val="18"/>
          <w:rFonts w:hint="eastAsia" w:ascii="仿宋_GB2312" w:hAnsi="楷体" w:eastAsia="仿宋_GB2312" w:cstheme="minorBidi"/>
          <w:b w:val="0"/>
          <w:spacing w:val="-4"/>
          <w:sz w:val="28"/>
          <w:szCs w:val="28"/>
          <w:lang w:val="en-US" w:eastAsia="zh-CN"/>
        </w:rPr>
        <w:t>；</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rPr>
        <w:t>实有退休人员</w:t>
      </w:r>
      <w:r>
        <w:rPr>
          <w:rStyle w:val="18"/>
          <w:rFonts w:hint="eastAsia" w:ascii="仿宋_GB2312" w:hAnsi="楷体" w:eastAsia="仿宋_GB2312" w:cstheme="minorBidi"/>
          <w:b w:val="0"/>
          <w:spacing w:val="-4"/>
          <w:sz w:val="28"/>
          <w:szCs w:val="28"/>
          <w:lang w:val="en-US" w:eastAsia="zh-CN"/>
        </w:rPr>
        <w:t>0</w:t>
      </w:r>
      <w:r>
        <w:rPr>
          <w:rStyle w:val="18"/>
          <w:rFonts w:hint="eastAsia" w:ascii="仿宋_GB2312" w:hAnsi="楷体" w:eastAsia="仿宋_GB2312" w:cstheme="minorBidi"/>
          <w:b w:val="0"/>
          <w:spacing w:val="-4"/>
          <w:sz w:val="28"/>
          <w:szCs w:val="28"/>
        </w:rPr>
        <w:t>人（上年</w:t>
      </w:r>
      <w:r>
        <w:rPr>
          <w:rStyle w:val="18"/>
          <w:rFonts w:hint="eastAsia" w:ascii="仿宋_GB2312" w:hAnsi="楷体" w:eastAsia="仿宋_GB2312" w:cstheme="minorBidi"/>
          <w:b w:val="0"/>
          <w:spacing w:val="-4"/>
          <w:sz w:val="28"/>
          <w:szCs w:val="28"/>
          <w:lang w:val="en-US" w:eastAsia="zh-CN"/>
        </w:rPr>
        <w:t>0</w:t>
      </w:r>
      <w:r>
        <w:rPr>
          <w:rStyle w:val="18"/>
          <w:rFonts w:hint="eastAsia" w:ascii="仿宋_GB2312" w:hAnsi="楷体" w:eastAsia="仿宋_GB2312" w:cstheme="minorBidi"/>
          <w:b w:val="0"/>
          <w:spacing w:val="-4"/>
          <w:sz w:val="28"/>
          <w:szCs w:val="28"/>
        </w:rPr>
        <w:t>人）, 同比上年增加</w:t>
      </w:r>
      <w:r>
        <w:rPr>
          <w:rStyle w:val="18"/>
          <w:rFonts w:hint="eastAsia" w:ascii="仿宋_GB2312" w:hAnsi="楷体" w:eastAsia="仿宋_GB2312" w:cstheme="minorBidi"/>
          <w:b w:val="0"/>
          <w:spacing w:val="-4"/>
          <w:sz w:val="28"/>
          <w:szCs w:val="28"/>
          <w:lang w:val="en-US" w:eastAsia="zh-CN"/>
        </w:rPr>
        <w:t>0</w:t>
      </w:r>
      <w:r>
        <w:rPr>
          <w:rStyle w:val="18"/>
          <w:rFonts w:hint="eastAsia" w:ascii="仿宋_GB2312" w:hAnsi="楷体" w:eastAsia="仿宋_GB2312" w:cstheme="minorBidi"/>
          <w:b w:val="0"/>
          <w:spacing w:val="-4"/>
          <w:sz w:val="28"/>
          <w:szCs w:val="28"/>
        </w:rPr>
        <w:t>人</w:t>
      </w:r>
      <w:r>
        <w:rPr>
          <w:rStyle w:val="18"/>
          <w:rFonts w:hint="eastAsia" w:ascii="仿宋_GB2312" w:hAnsi="楷体" w:eastAsia="仿宋_GB2312" w:cstheme="minorBidi"/>
          <w:b w:val="0"/>
          <w:spacing w:val="-4"/>
          <w:sz w:val="28"/>
          <w:szCs w:val="28"/>
          <w:lang w:eastAsia="zh-CN"/>
        </w:rPr>
        <w:t>；</w:t>
      </w:r>
    </w:p>
    <w:p>
      <w:pPr>
        <w:pStyle w:val="7"/>
        <w:spacing w:line="360" w:lineRule="auto"/>
        <w:ind w:firstLine="562" w:firstLineChars="200"/>
        <w:rPr>
          <w:rStyle w:val="18"/>
          <w:rFonts w:hint="eastAsia" w:ascii="仿宋" w:hAnsi="仿宋" w:eastAsia="仿宋" w:cstheme="minorBidi"/>
          <w:b/>
          <w:bCs/>
        </w:rPr>
      </w:pPr>
      <w:r>
        <w:rPr>
          <w:rStyle w:val="18"/>
          <w:rFonts w:hint="eastAsia" w:ascii="仿宋" w:hAnsi="仿宋" w:eastAsia="仿宋" w:cstheme="minorBidi"/>
          <w:b/>
          <w:bCs/>
        </w:rPr>
        <w:t>3、重点工作计划</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1）形成强大合力，进一步优化格局，以优秀产品助力文旅融合。一方面打造八卦城品牌，持续放大八卦城口碑效应，系统谋划八卦城与喀拉峻、阿克塔斯等景区“客票双向互通”方案，形成“1+1＞2”效果，激活科桑、塞克、马山等存量资源，实现有效互动和良性循环的新局面；另一方面推动区域协调发展，加大亲子互动类、夜间游，冬季游等项目打造，加快推进研学游项目策划设计，推进众神牧场项目建设，通过观光小火车、拖拉机、卡丁车等项目，进一步丰富游客体验活动内容，打破景区欣赏自然景区为主的现状，形成峡谷草原相互促进的旅游新格局。</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2）增强内生动力，进一步夯实基础，以优质项目提升发展效益。一是我委将以项目工作为抓手，认真贯彻落实十九届六中全会、自治区第十次党代会精神，以营造优质、高效、安全和舒心的旅游服务环境为目标，强弱项补短板，加强完善景区安全和基础设施建设，努力解决景区服务设施滞后、游客游园舒适度低的问题，切实提高景区接待能力和游客承载量；二是丰富景区业态种类，推动由“观光游”向“度假游”，“一日游”向“多日游”，“过境游”向“栖居游”跨越，围绕景区建设，推出世遗奇绝游、世遗壮美游、世遗全景游、春季雪山花海游等精品路线，完善景区业态布局，让游客从全新角度欣赏景区周边环境，达到乐趣与探险、运动与自然的和谐之美； 三是强化宣传营销，借助网络和自媒体，辅以组合、促销等方式手段强化策略营销，主动与国内热点旅游城市、知名旅游网站和旅行社联系，建立长期合作关系；稳步拓展长三角、珠三角、京津冀等客源市场，进行多维度智慧营销，形成广覆盖、立体化、全天候宣传叠加效应，从而促进带动我县酒店、餐饮、旅游纪念品销售及林果业、畜牧业等产业的全面发展，实现旅游富民强县；四是做好夏秋季节旅游保障同时，结合景区旅游资源优势，积极对接投资客商，补齐冬季旅游短板，完善滑雪场基础设施建设，丰富旅游供给和配套产品，举办冰雪赛事、摄影大赛、马术运动、冬宰节等系列节庆赛事活动，全力将我县打造成国内冬季旅游目的地、冰雪休闲运动旅游目的地。</w:t>
      </w:r>
    </w:p>
    <w:bookmarkEnd w:id="1"/>
    <w:p>
      <w:pPr>
        <w:pStyle w:val="6"/>
        <w:spacing w:line="360" w:lineRule="auto"/>
        <w:rPr>
          <w:rStyle w:val="18"/>
          <w:rFonts w:hint="eastAsia" w:ascii="仿宋_GB2312" w:hAnsi="楷体" w:eastAsia="仿宋_GB2312" w:cstheme="minorBidi"/>
          <w:b w:val="0"/>
          <w:bCs/>
          <w:spacing w:val="-4"/>
          <w:kern w:val="2"/>
          <w:sz w:val="28"/>
          <w:szCs w:val="28"/>
          <w:lang w:val="en-US" w:eastAsia="zh-CN" w:bidi="ar-SA"/>
        </w:rPr>
      </w:pPr>
      <w:bookmarkStart w:id="2" w:name="_Toc70450294"/>
      <w:r>
        <w:rPr>
          <w:rStyle w:val="18"/>
          <w:rFonts w:hint="eastAsia" w:ascii="仿宋" w:hAnsi="仿宋" w:eastAsia="仿宋" w:cstheme="minorBidi"/>
          <w:b/>
          <w:bCs/>
          <w:sz w:val="28"/>
          <w:szCs w:val="28"/>
        </w:rPr>
        <w:t>（二）部门单位整体支出规模、</w:t>
      </w:r>
      <w:bookmarkStart w:id="3" w:name="_Hlk70339807"/>
      <w:r>
        <w:rPr>
          <w:rStyle w:val="18"/>
          <w:rFonts w:hint="eastAsia" w:ascii="仿宋" w:hAnsi="仿宋" w:eastAsia="仿宋" w:cstheme="minorBidi"/>
          <w:b/>
          <w:bCs/>
          <w:sz w:val="28"/>
          <w:szCs w:val="28"/>
        </w:rPr>
        <w:t>使用方法和主要内容、涉及对象及范围等</w:t>
      </w:r>
      <w:bookmarkEnd w:id="2"/>
    </w:p>
    <w:bookmarkEnd w:id="3"/>
    <w:p>
      <w:pPr>
        <w:pStyle w:val="7"/>
        <w:spacing w:line="360" w:lineRule="auto"/>
        <w:ind w:firstLine="562" w:firstLineChars="200"/>
        <w:rPr>
          <w:rStyle w:val="18"/>
          <w:rFonts w:hint="eastAsia" w:ascii="仿宋" w:hAnsi="仿宋" w:eastAsia="仿宋" w:cstheme="minorBidi"/>
          <w:b/>
          <w:bCs/>
        </w:rPr>
      </w:pPr>
      <w:bookmarkStart w:id="4" w:name="_Toc70450295"/>
      <w:r>
        <w:rPr>
          <w:rStyle w:val="18"/>
          <w:rFonts w:hint="eastAsia" w:ascii="仿宋" w:hAnsi="仿宋" w:eastAsia="仿宋" w:cstheme="minorBidi"/>
          <w:b/>
          <w:bCs/>
        </w:rPr>
        <w:t>1、部门单位整体支出规模</w:t>
      </w:r>
      <w:bookmarkEnd w:id="4"/>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2021年批复我</w:t>
      </w:r>
      <w:r>
        <w:rPr>
          <w:rStyle w:val="18"/>
          <w:rFonts w:hint="eastAsia" w:ascii="仿宋_GB2312" w:hAnsi="楷体" w:eastAsia="仿宋_GB2312" w:cstheme="minorBidi"/>
          <w:b w:val="0"/>
          <w:spacing w:val="-4"/>
          <w:sz w:val="28"/>
          <w:szCs w:val="28"/>
          <w:lang w:val="en-US" w:eastAsia="zh-CN"/>
        </w:rPr>
        <w:t>单位</w:t>
      </w:r>
      <w:r>
        <w:rPr>
          <w:rStyle w:val="18"/>
          <w:rFonts w:hint="eastAsia" w:ascii="仿宋_GB2312" w:hAnsi="楷体" w:eastAsia="仿宋_GB2312" w:cstheme="minorBidi"/>
          <w:b w:val="0"/>
          <w:spacing w:val="-4"/>
          <w:sz w:val="28"/>
          <w:szCs w:val="28"/>
        </w:rPr>
        <w:t>预算为797.70万元，其中：财政拨款</w:t>
      </w:r>
      <w:r>
        <w:rPr>
          <w:rStyle w:val="18"/>
          <w:rFonts w:hint="eastAsia" w:ascii="仿宋_GB2312" w:hAnsi="楷体" w:eastAsia="仿宋_GB2312" w:cstheme="minorBidi"/>
          <w:b w:val="0"/>
          <w:spacing w:val="-4"/>
          <w:sz w:val="28"/>
          <w:szCs w:val="28"/>
          <w:lang w:eastAsia="zh-CN"/>
        </w:rPr>
        <w:t>预算为</w:t>
      </w:r>
      <w:r>
        <w:rPr>
          <w:rStyle w:val="18"/>
          <w:rFonts w:hint="eastAsia" w:ascii="仿宋_GB2312" w:hAnsi="楷体" w:eastAsia="仿宋_GB2312" w:cstheme="minorBidi"/>
          <w:b w:val="0"/>
          <w:spacing w:val="-4"/>
          <w:sz w:val="28"/>
          <w:szCs w:val="28"/>
        </w:rPr>
        <w:t>797.70万元</w:t>
      </w: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rPr>
        <w:t>年中追加资金</w:t>
      </w:r>
      <w:r>
        <w:rPr>
          <w:rStyle w:val="18"/>
          <w:rFonts w:hint="eastAsia" w:ascii="仿宋_GB2312" w:hAnsi="楷体" w:eastAsia="仿宋_GB2312" w:cstheme="minorBidi"/>
          <w:b w:val="0"/>
          <w:spacing w:val="-4"/>
          <w:sz w:val="28"/>
          <w:szCs w:val="28"/>
          <w:lang w:val="en-US" w:eastAsia="zh-CN"/>
        </w:rPr>
        <w:t>6</w:t>
      </w:r>
      <w:r>
        <w:rPr>
          <w:rStyle w:val="18"/>
          <w:rFonts w:hint="eastAsia" w:ascii="仿宋_GB2312" w:hAnsi="楷体" w:eastAsia="仿宋_GB2312" w:cstheme="minorBidi"/>
          <w:b w:val="0"/>
          <w:spacing w:val="-4"/>
          <w:sz w:val="28"/>
          <w:szCs w:val="28"/>
        </w:rPr>
        <w:t>36.89万元，调整率</w:t>
      </w:r>
      <w:r>
        <w:rPr>
          <w:rStyle w:val="18"/>
          <w:rFonts w:hint="eastAsia" w:ascii="仿宋_GB2312" w:hAnsi="楷体" w:eastAsia="仿宋_GB2312" w:cstheme="minorBidi"/>
          <w:b w:val="0"/>
          <w:spacing w:val="-4"/>
          <w:sz w:val="28"/>
          <w:szCs w:val="28"/>
          <w:lang w:val="en-US" w:eastAsia="zh-CN"/>
        </w:rPr>
        <w:t>396.05</w:t>
      </w:r>
      <w:r>
        <w:rPr>
          <w:rStyle w:val="18"/>
          <w:rFonts w:hint="eastAsia" w:ascii="仿宋_GB2312" w:hAnsi="楷体" w:eastAsia="仿宋_GB2312" w:cstheme="minorBidi"/>
          <w:b w:val="0"/>
          <w:spacing w:val="-4"/>
          <w:sz w:val="28"/>
          <w:szCs w:val="28"/>
        </w:rPr>
        <w:t>%。对比上年 772.03 万元增加</w:t>
      </w:r>
      <w:r>
        <w:rPr>
          <w:rStyle w:val="18"/>
          <w:rFonts w:hint="eastAsia" w:ascii="仿宋_GB2312" w:hAnsi="楷体" w:eastAsia="仿宋_GB2312" w:cstheme="minorBidi"/>
          <w:b w:val="0"/>
          <w:spacing w:val="-4"/>
          <w:sz w:val="28"/>
          <w:szCs w:val="28"/>
          <w:lang w:val="en-US" w:eastAsia="zh-CN"/>
        </w:rPr>
        <w:t>25.67</w:t>
      </w:r>
      <w:r>
        <w:rPr>
          <w:rStyle w:val="18"/>
          <w:rFonts w:hint="eastAsia" w:ascii="仿宋_GB2312" w:hAnsi="楷体" w:eastAsia="仿宋_GB2312" w:cstheme="minorBidi"/>
          <w:b w:val="0"/>
          <w:spacing w:val="-4"/>
          <w:sz w:val="28"/>
          <w:szCs w:val="28"/>
        </w:rPr>
        <w:t>万元，上升</w:t>
      </w:r>
      <w:r>
        <w:rPr>
          <w:rStyle w:val="18"/>
          <w:rFonts w:hint="eastAsia" w:ascii="仿宋_GB2312" w:hAnsi="楷体" w:eastAsia="仿宋_GB2312" w:cstheme="minorBidi"/>
          <w:b w:val="0"/>
          <w:spacing w:val="-4"/>
          <w:sz w:val="28"/>
          <w:szCs w:val="28"/>
          <w:lang w:val="en-US" w:eastAsia="zh-CN"/>
        </w:rPr>
        <w:t>3.33</w:t>
      </w:r>
      <w:r>
        <w:rPr>
          <w:rStyle w:val="18"/>
          <w:rFonts w:hint="eastAsia" w:ascii="仿宋_GB2312" w:hAnsi="楷体" w:eastAsia="仿宋_GB2312" w:cstheme="minorBidi"/>
          <w:b w:val="0"/>
          <w:spacing w:val="-4"/>
          <w:sz w:val="28"/>
          <w:szCs w:val="28"/>
        </w:rPr>
        <w:t>%。</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2021年实际决算支出797.70万元，执行率100%，其中：</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lang w:val="en-US" w:eastAsia="zh-CN"/>
        </w:rPr>
        <w:t>1</w:t>
      </w: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rPr>
        <w:t>基本支出415.79万元，占总支出的</w:t>
      </w:r>
      <w:r>
        <w:rPr>
          <w:rStyle w:val="18"/>
          <w:rFonts w:hint="eastAsia" w:ascii="仿宋_GB2312" w:hAnsi="楷体" w:eastAsia="仿宋_GB2312" w:cstheme="minorBidi"/>
          <w:b w:val="0"/>
          <w:spacing w:val="-4"/>
          <w:sz w:val="28"/>
          <w:szCs w:val="28"/>
          <w:lang w:val="en-US" w:eastAsia="zh-CN"/>
        </w:rPr>
        <w:t>52.12</w:t>
      </w:r>
      <w:r>
        <w:rPr>
          <w:rStyle w:val="18"/>
          <w:rFonts w:hint="eastAsia" w:ascii="仿宋_GB2312" w:hAnsi="楷体" w:eastAsia="仿宋_GB2312" w:cstheme="minorBidi"/>
          <w:b w:val="0"/>
          <w:spacing w:val="-4"/>
          <w:sz w:val="28"/>
          <w:szCs w:val="28"/>
        </w:rPr>
        <w:t>％，主要用于本部门机构正常运转、完成日常工作任务而发生的各项支出。其中：工资福利支出329.20万元，主要用于在职基本工资、津贴补贴等人员经费。商品和服务支出86.59万元，主要用于办公费、印刷费、水电费、办公设备购置等。</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lang w:val="en-US" w:eastAsia="zh-CN"/>
        </w:rPr>
        <w:t>2</w:t>
      </w:r>
      <w:r>
        <w:rPr>
          <w:rStyle w:val="18"/>
          <w:rFonts w:hint="eastAsia" w:ascii="仿宋_GB2312" w:hAnsi="楷体" w:eastAsia="仿宋_GB2312" w:cstheme="minorBidi"/>
          <w:b w:val="0"/>
          <w:spacing w:val="-4"/>
          <w:sz w:val="28"/>
          <w:szCs w:val="28"/>
          <w:lang w:eastAsia="zh-CN"/>
        </w:rPr>
        <w:t>）项目支出381.91万元，占总支出的47</w:t>
      </w:r>
      <w:r>
        <w:rPr>
          <w:rStyle w:val="18"/>
          <w:rFonts w:hint="eastAsia" w:ascii="仿宋_GB2312" w:hAnsi="楷体" w:eastAsia="仿宋_GB2312" w:cstheme="minorBidi"/>
          <w:b w:val="0"/>
          <w:spacing w:val="-4"/>
          <w:sz w:val="28"/>
          <w:szCs w:val="28"/>
          <w:lang w:val="en-US" w:eastAsia="zh-CN"/>
        </w:rPr>
        <w:t>.88</w:t>
      </w:r>
      <w:r>
        <w:rPr>
          <w:rStyle w:val="18"/>
          <w:rFonts w:hint="eastAsia" w:ascii="仿宋_GB2312" w:hAnsi="楷体" w:eastAsia="仿宋_GB2312" w:cstheme="minorBidi"/>
          <w:b w:val="0"/>
          <w:spacing w:val="-4"/>
          <w:sz w:val="28"/>
          <w:szCs w:val="28"/>
          <w:lang w:eastAsia="zh-CN"/>
        </w:rPr>
        <w:t>％。其中：法律咨询顾问费项目安排9万元，主要用于完成单位法律咨询服务，一路红尘契税印花税金项目安排2.70万元</w:t>
      </w:r>
      <w:r>
        <w:rPr>
          <w:rStyle w:val="18"/>
          <w:rFonts w:hint="eastAsia" w:ascii="仿宋_GB2312" w:hAnsi="楷体" w:eastAsia="仿宋_GB2312" w:cstheme="minorBidi"/>
          <w:b w:val="0"/>
          <w:spacing w:val="-4"/>
          <w:sz w:val="28"/>
          <w:szCs w:val="28"/>
        </w:rPr>
        <w:t>，主要用于完成一路红尘影视剧契税。乌孙夏都大门搬迁加固项目资金项目安排 9.8万元，主要用于完成完成乌孙夏都大门搬迁加固项目。喀拉峻景区乌孙夏都服务中心建设项目安排27.10万元，主要用于完成喀拉峻景区乌孙夏都服务中心建设。喀拉峻项目指挥部经费安排 6万元，主要用于完成喀拉峻项目指挥工作。喀拉峻景区基础设施建设（喀拉峻国际生态旅游区门票收入的60％）项目安排326.96万元，主要用于完成喀拉峻基础设施建设。喀拉峻旅游风景区项目2019年财政投资评审项目咨询审核费安排0.3</w:t>
      </w:r>
      <w:r>
        <w:rPr>
          <w:rStyle w:val="18"/>
          <w:rFonts w:hint="eastAsia" w:ascii="仿宋_GB2312" w:hAnsi="楷体" w:eastAsia="仿宋_GB2312" w:cstheme="minorBidi"/>
          <w:b w:val="0"/>
          <w:spacing w:val="-4"/>
          <w:sz w:val="28"/>
          <w:szCs w:val="28"/>
          <w:lang w:val="en-US" w:eastAsia="zh-CN"/>
        </w:rPr>
        <w:t>5</w:t>
      </w:r>
      <w:r>
        <w:rPr>
          <w:rStyle w:val="18"/>
          <w:rFonts w:hint="eastAsia" w:ascii="仿宋_GB2312" w:hAnsi="楷体" w:eastAsia="仿宋_GB2312" w:cstheme="minorBidi"/>
          <w:b w:val="0"/>
          <w:spacing w:val="-4"/>
          <w:sz w:val="28"/>
          <w:szCs w:val="28"/>
        </w:rPr>
        <w:t>万元，主要用于完成项目评审工作。</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lang w:val="en-US" w:eastAsia="zh-CN"/>
        </w:rPr>
        <w:t>3</w:t>
      </w: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rPr>
        <w:t>本年度重点项目支出326.96万元，重点支出保障率85.61%。其中重点保障项目是喀拉峻景区基础设施建设（喀拉峻国际生态旅游区门票收入的60％）。</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lang w:val="en-US" w:eastAsia="zh-CN"/>
        </w:rPr>
        <w:t>4</w:t>
      </w:r>
      <w:r>
        <w:rPr>
          <w:rStyle w:val="18"/>
          <w:rFonts w:hint="eastAsia" w:ascii="仿宋_GB2312" w:hAnsi="楷体" w:eastAsia="仿宋_GB2312" w:cstheme="minorBidi"/>
          <w:b w:val="0"/>
          <w:spacing w:val="-4"/>
          <w:sz w:val="28"/>
          <w:szCs w:val="28"/>
          <w:lang w:eastAsia="zh-CN"/>
        </w:rPr>
        <w:t>）</w:t>
      </w:r>
      <w:r>
        <w:rPr>
          <w:rStyle w:val="18"/>
          <w:rFonts w:hint="eastAsia" w:ascii="仿宋_GB2312" w:hAnsi="楷体" w:eastAsia="仿宋_GB2312" w:cstheme="minorBidi"/>
          <w:b w:val="0"/>
          <w:spacing w:val="-4"/>
          <w:sz w:val="28"/>
          <w:szCs w:val="28"/>
        </w:rPr>
        <w:t>本年度我单位</w:t>
      </w:r>
      <w:r>
        <w:rPr>
          <w:rStyle w:val="18"/>
          <w:rFonts w:hint="eastAsia" w:ascii="仿宋_GB2312" w:hAnsi="楷体" w:eastAsia="仿宋_GB2312" w:cstheme="minorBidi"/>
          <w:b w:val="0"/>
          <w:spacing w:val="-4"/>
          <w:sz w:val="28"/>
          <w:szCs w:val="28"/>
          <w:lang w:val="en-US" w:eastAsia="zh-CN"/>
        </w:rPr>
        <w:t>全年</w:t>
      </w:r>
      <w:r>
        <w:rPr>
          <w:rStyle w:val="18"/>
          <w:rFonts w:hint="eastAsia" w:ascii="仿宋_GB2312" w:hAnsi="楷体" w:eastAsia="仿宋_GB2312" w:cstheme="minorBidi"/>
          <w:b w:val="0"/>
          <w:spacing w:val="-4"/>
          <w:sz w:val="28"/>
          <w:szCs w:val="28"/>
        </w:rPr>
        <w:t>政府采购预算163.84</w:t>
      </w:r>
      <w:r>
        <w:rPr>
          <w:rStyle w:val="18"/>
          <w:rFonts w:hint="eastAsia" w:ascii="仿宋_GB2312" w:hAnsi="楷体" w:eastAsia="仿宋_GB2312" w:cstheme="minorBidi"/>
          <w:b w:val="0"/>
          <w:spacing w:val="-4"/>
          <w:sz w:val="28"/>
          <w:szCs w:val="28"/>
          <w:lang w:eastAsia="zh-CN"/>
        </w:rPr>
        <w:t>万元，</w:t>
      </w:r>
      <w:r>
        <w:rPr>
          <w:rStyle w:val="18"/>
          <w:rFonts w:hint="eastAsia" w:ascii="仿宋_GB2312" w:hAnsi="楷体" w:eastAsia="仿宋_GB2312" w:cstheme="minorBidi"/>
          <w:b w:val="0"/>
          <w:spacing w:val="-4"/>
          <w:sz w:val="28"/>
          <w:szCs w:val="28"/>
        </w:rPr>
        <w:t>实际用于政府采购金额163.84 万元，采购执行率</w:t>
      </w:r>
      <w:r>
        <w:rPr>
          <w:rStyle w:val="18"/>
          <w:rFonts w:hint="eastAsia" w:ascii="仿宋_GB2312" w:hAnsi="楷体" w:eastAsia="仿宋_GB2312" w:cstheme="minorBidi"/>
          <w:b w:val="0"/>
          <w:spacing w:val="-4"/>
          <w:sz w:val="28"/>
          <w:szCs w:val="28"/>
          <w:lang w:val="en-US" w:eastAsia="zh-CN"/>
        </w:rPr>
        <w:t>100</w:t>
      </w:r>
      <w:r>
        <w:rPr>
          <w:rStyle w:val="18"/>
          <w:rFonts w:hint="eastAsia" w:ascii="仿宋_GB2312" w:hAnsi="楷体" w:eastAsia="仿宋_GB2312" w:cstheme="minorBidi"/>
          <w:b w:val="0"/>
          <w:spacing w:val="-4"/>
          <w:sz w:val="28"/>
          <w:szCs w:val="28"/>
        </w:rPr>
        <w:t>%</w:t>
      </w:r>
      <w:r>
        <w:rPr>
          <w:rStyle w:val="18"/>
          <w:rFonts w:hint="eastAsia" w:ascii="仿宋_GB2312" w:hAnsi="楷体" w:eastAsia="仿宋_GB2312" w:cstheme="minorBidi"/>
          <w:b w:val="0"/>
          <w:spacing w:val="-4"/>
          <w:sz w:val="28"/>
          <w:szCs w:val="28"/>
          <w:lang w:eastAsia="zh-CN"/>
        </w:rPr>
        <w:t>。</w:t>
      </w:r>
    </w:p>
    <w:p>
      <w:pPr>
        <w:pStyle w:val="7"/>
        <w:spacing w:line="360" w:lineRule="auto"/>
        <w:ind w:firstLine="562" w:firstLineChars="200"/>
        <w:rPr>
          <w:rStyle w:val="18"/>
          <w:rFonts w:hint="eastAsia" w:ascii="仿宋" w:hAnsi="仿宋" w:eastAsia="仿宋" w:cstheme="minorBidi"/>
          <w:b/>
          <w:bCs/>
        </w:rPr>
      </w:pPr>
      <w:bookmarkStart w:id="5" w:name="_Toc70450296"/>
      <w:r>
        <w:rPr>
          <w:rStyle w:val="18"/>
          <w:rFonts w:hint="eastAsia" w:ascii="仿宋" w:hAnsi="仿宋" w:eastAsia="仿宋" w:cstheme="minorBidi"/>
          <w:b/>
          <w:bCs/>
        </w:rPr>
        <w:t>2、整体支出评价使用方法和主要内容、涉及对象及范围等</w:t>
      </w:r>
      <w:bookmarkEnd w:id="5"/>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（1）整体支出评价使用方法</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rPr>
        <w:t>本次单位整体支出绩效自评采用</w:t>
      </w:r>
      <w:r>
        <w:rPr>
          <w:rStyle w:val="18"/>
          <w:rFonts w:hint="eastAsia" w:ascii="仿宋_GB2312" w:hAnsi="楷体" w:eastAsia="仿宋_GB2312" w:cstheme="minorBidi"/>
          <w:b w:val="0"/>
          <w:spacing w:val="-4"/>
          <w:sz w:val="28"/>
          <w:szCs w:val="28"/>
          <w:lang w:eastAsia="zh-CN"/>
        </w:rPr>
        <w:t>因素分析方法，原因是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（2）整体支出评价主要内容</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lang w:eastAsia="zh-CN"/>
        </w:rPr>
        <w:fldChar w:fldCharType="begin"/>
      </w:r>
      <w:r>
        <w:rPr>
          <w:rStyle w:val="18"/>
          <w:rFonts w:hint="eastAsia" w:ascii="仿宋_GB2312" w:hAnsi="楷体" w:eastAsia="仿宋_GB2312" w:cstheme="minorBidi"/>
          <w:b w:val="0"/>
          <w:spacing w:val="-4"/>
          <w:sz w:val="28"/>
          <w:szCs w:val="28"/>
          <w:lang w:eastAsia="zh-CN"/>
        </w:rPr>
        <w:instrText xml:space="preserve"> = 1 \* GB3 </w:instrText>
      </w:r>
      <w:r>
        <w:rPr>
          <w:rStyle w:val="18"/>
          <w:rFonts w:hint="eastAsia" w:ascii="仿宋_GB2312" w:hAnsi="楷体" w:eastAsia="仿宋_GB2312" w:cstheme="minorBidi"/>
          <w:b w:val="0"/>
          <w:spacing w:val="-4"/>
          <w:sz w:val="28"/>
          <w:szCs w:val="28"/>
          <w:lang w:eastAsia="zh-CN"/>
        </w:rPr>
        <w:fldChar w:fldCharType="separate"/>
      </w:r>
      <w:r>
        <w:rPr>
          <w:rStyle w:val="18"/>
          <w:rFonts w:hint="eastAsia" w:ascii="仿宋_GB2312" w:hAnsi="楷体" w:eastAsia="仿宋_GB2312" w:cstheme="minorBidi"/>
          <w:b w:val="0"/>
          <w:spacing w:val="-4"/>
          <w:sz w:val="28"/>
          <w:szCs w:val="28"/>
          <w:lang w:eastAsia="zh-CN"/>
        </w:rPr>
        <w:t>①</w:t>
      </w:r>
      <w:r>
        <w:rPr>
          <w:rStyle w:val="18"/>
          <w:rFonts w:hint="eastAsia" w:ascii="仿宋_GB2312" w:hAnsi="楷体" w:eastAsia="仿宋_GB2312" w:cstheme="minorBidi"/>
          <w:b w:val="0"/>
          <w:spacing w:val="-4"/>
          <w:sz w:val="28"/>
          <w:szCs w:val="28"/>
          <w:lang w:eastAsia="zh-CN"/>
        </w:rPr>
        <w:fldChar w:fldCharType="end"/>
      </w:r>
      <w:r>
        <w:rPr>
          <w:rStyle w:val="18"/>
          <w:rFonts w:hint="eastAsia" w:ascii="仿宋_GB2312" w:hAnsi="楷体" w:eastAsia="仿宋_GB2312" w:cstheme="minorBidi"/>
          <w:b w:val="0"/>
          <w:spacing w:val="-4"/>
          <w:sz w:val="28"/>
          <w:szCs w:val="28"/>
          <w:lang w:eastAsia="zh-CN"/>
        </w:rPr>
        <w:t>绩效目标的设定情况。重点评价绩效目标设立的充分性、明确性、合理性以及细化程度。</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lang w:eastAsia="zh-CN"/>
        </w:rPr>
        <w:fldChar w:fldCharType="begin"/>
      </w:r>
      <w:r>
        <w:rPr>
          <w:rStyle w:val="18"/>
          <w:rFonts w:hint="eastAsia" w:ascii="仿宋_GB2312" w:hAnsi="楷体" w:eastAsia="仿宋_GB2312" w:cstheme="minorBidi"/>
          <w:b w:val="0"/>
          <w:spacing w:val="-4"/>
          <w:sz w:val="28"/>
          <w:szCs w:val="28"/>
          <w:lang w:eastAsia="zh-CN"/>
        </w:rPr>
        <w:instrText xml:space="preserve"> = 2 \* GB3 </w:instrText>
      </w:r>
      <w:r>
        <w:rPr>
          <w:rStyle w:val="18"/>
          <w:rFonts w:hint="eastAsia" w:ascii="仿宋_GB2312" w:hAnsi="楷体" w:eastAsia="仿宋_GB2312" w:cstheme="minorBidi"/>
          <w:b w:val="0"/>
          <w:spacing w:val="-4"/>
          <w:sz w:val="28"/>
          <w:szCs w:val="28"/>
          <w:lang w:eastAsia="zh-CN"/>
        </w:rPr>
        <w:fldChar w:fldCharType="separate"/>
      </w:r>
      <w:r>
        <w:rPr>
          <w:rStyle w:val="18"/>
          <w:rFonts w:hint="eastAsia" w:ascii="仿宋_GB2312" w:hAnsi="楷体" w:eastAsia="仿宋_GB2312" w:cstheme="minorBidi"/>
          <w:b w:val="0"/>
          <w:spacing w:val="-4"/>
          <w:sz w:val="28"/>
          <w:szCs w:val="28"/>
          <w:lang w:eastAsia="zh-CN"/>
        </w:rPr>
        <w:t>②</w:t>
      </w:r>
      <w:r>
        <w:rPr>
          <w:rStyle w:val="18"/>
          <w:rFonts w:hint="eastAsia" w:ascii="仿宋_GB2312" w:hAnsi="楷体" w:eastAsia="仿宋_GB2312" w:cstheme="minorBidi"/>
          <w:b w:val="0"/>
          <w:spacing w:val="-4"/>
          <w:sz w:val="28"/>
          <w:szCs w:val="28"/>
          <w:lang w:eastAsia="zh-CN"/>
        </w:rPr>
        <w:fldChar w:fldCharType="end"/>
      </w:r>
      <w:r>
        <w:rPr>
          <w:rStyle w:val="18"/>
          <w:rFonts w:hint="eastAsia" w:ascii="仿宋_GB2312" w:hAnsi="楷体" w:eastAsia="仿宋_GB2312" w:cstheme="minorBidi"/>
          <w:b w:val="0"/>
          <w:spacing w:val="-4"/>
          <w:sz w:val="28"/>
          <w:szCs w:val="28"/>
          <w:lang w:eastAsia="zh-CN"/>
        </w:rPr>
        <w:t>资金投入和使用情况。重点评价资金分配过程、投入方式、资金到位、预算执行和结果。</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lang w:eastAsia="zh-CN"/>
        </w:rPr>
        <w:fldChar w:fldCharType="begin"/>
      </w:r>
      <w:r>
        <w:rPr>
          <w:rStyle w:val="18"/>
          <w:rFonts w:hint="eastAsia" w:ascii="仿宋_GB2312" w:hAnsi="楷体" w:eastAsia="仿宋_GB2312" w:cstheme="minorBidi"/>
          <w:b w:val="0"/>
          <w:spacing w:val="-4"/>
          <w:sz w:val="28"/>
          <w:szCs w:val="28"/>
          <w:lang w:eastAsia="zh-CN"/>
        </w:rPr>
        <w:instrText xml:space="preserve"> = 3 \* GB3 </w:instrText>
      </w:r>
      <w:r>
        <w:rPr>
          <w:rStyle w:val="18"/>
          <w:rFonts w:hint="eastAsia" w:ascii="仿宋_GB2312" w:hAnsi="楷体" w:eastAsia="仿宋_GB2312" w:cstheme="minorBidi"/>
          <w:b w:val="0"/>
          <w:spacing w:val="-4"/>
          <w:sz w:val="28"/>
          <w:szCs w:val="28"/>
          <w:lang w:eastAsia="zh-CN"/>
        </w:rPr>
        <w:fldChar w:fldCharType="separate"/>
      </w:r>
      <w:r>
        <w:rPr>
          <w:rStyle w:val="18"/>
          <w:rFonts w:hint="eastAsia" w:ascii="仿宋_GB2312" w:hAnsi="楷体" w:eastAsia="仿宋_GB2312" w:cstheme="minorBidi"/>
          <w:b w:val="0"/>
          <w:spacing w:val="-4"/>
          <w:sz w:val="28"/>
          <w:szCs w:val="28"/>
          <w:lang w:eastAsia="zh-CN"/>
        </w:rPr>
        <w:t>③</w:t>
      </w:r>
      <w:r>
        <w:rPr>
          <w:rStyle w:val="18"/>
          <w:rFonts w:hint="eastAsia" w:ascii="仿宋_GB2312" w:hAnsi="楷体" w:eastAsia="仿宋_GB2312" w:cstheme="minorBidi"/>
          <w:b w:val="0"/>
          <w:spacing w:val="-4"/>
          <w:sz w:val="28"/>
          <w:szCs w:val="28"/>
          <w:lang w:eastAsia="zh-CN"/>
        </w:rPr>
        <w:fldChar w:fldCharType="end"/>
      </w:r>
      <w:r>
        <w:rPr>
          <w:rStyle w:val="18"/>
          <w:rFonts w:hint="eastAsia" w:ascii="仿宋_GB2312" w:hAnsi="楷体" w:eastAsia="仿宋_GB2312" w:cstheme="minorBidi"/>
          <w:b w:val="0"/>
          <w:spacing w:val="-4"/>
          <w:sz w:val="28"/>
          <w:szCs w:val="28"/>
          <w:lang w:eastAsia="zh-CN"/>
        </w:rPr>
        <w:t>为实现绩效目标制定的制度、采取的措施等。包括项目管理制度、财务管理制度、资产管理制度和绩效跟踪管理措施等。</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lang w:eastAsia="zh-CN"/>
        </w:rPr>
        <w:fldChar w:fldCharType="begin"/>
      </w:r>
      <w:r>
        <w:rPr>
          <w:rStyle w:val="18"/>
          <w:rFonts w:hint="eastAsia" w:ascii="仿宋_GB2312" w:hAnsi="楷体" w:eastAsia="仿宋_GB2312" w:cstheme="minorBidi"/>
          <w:b w:val="0"/>
          <w:spacing w:val="-4"/>
          <w:sz w:val="28"/>
          <w:szCs w:val="28"/>
          <w:lang w:eastAsia="zh-CN"/>
        </w:rPr>
        <w:instrText xml:space="preserve"> = 4 \* GB3 </w:instrText>
      </w:r>
      <w:r>
        <w:rPr>
          <w:rStyle w:val="18"/>
          <w:rFonts w:hint="eastAsia" w:ascii="仿宋_GB2312" w:hAnsi="楷体" w:eastAsia="仿宋_GB2312" w:cstheme="minorBidi"/>
          <w:b w:val="0"/>
          <w:spacing w:val="-4"/>
          <w:sz w:val="28"/>
          <w:szCs w:val="28"/>
          <w:lang w:eastAsia="zh-CN"/>
        </w:rPr>
        <w:fldChar w:fldCharType="separate"/>
      </w:r>
      <w:r>
        <w:rPr>
          <w:rStyle w:val="18"/>
          <w:rFonts w:hint="eastAsia" w:ascii="仿宋_GB2312" w:hAnsi="楷体" w:eastAsia="仿宋_GB2312" w:cstheme="minorBidi"/>
          <w:b w:val="0"/>
          <w:spacing w:val="-4"/>
          <w:sz w:val="28"/>
          <w:szCs w:val="28"/>
          <w:lang w:eastAsia="zh-CN"/>
        </w:rPr>
        <w:t>④</w:t>
      </w:r>
      <w:r>
        <w:rPr>
          <w:rStyle w:val="18"/>
          <w:rFonts w:hint="eastAsia" w:ascii="仿宋_GB2312" w:hAnsi="楷体" w:eastAsia="仿宋_GB2312" w:cstheme="minorBidi"/>
          <w:b w:val="0"/>
          <w:spacing w:val="-4"/>
          <w:sz w:val="28"/>
          <w:szCs w:val="28"/>
          <w:lang w:eastAsia="zh-CN"/>
        </w:rPr>
        <w:fldChar w:fldCharType="end"/>
      </w:r>
      <w:r>
        <w:rPr>
          <w:rStyle w:val="18"/>
          <w:rFonts w:hint="eastAsia" w:ascii="仿宋_GB2312" w:hAnsi="楷体" w:eastAsia="仿宋_GB2312" w:cstheme="minorBidi"/>
          <w:b w:val="0"/>
          <w:spacing w:val="-4"/>
          <w:sz w:val="28"/>
          <w:szCs w:val="28"/>
          <w:lang w:eastAsia="zh-CN"/>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8"/>
          <w:rFonts w:hint="eastAsia" w:ascii="仿宋_GB2312" w:eastAsia="仿宋_GB2312" w:hAnsiTheme="minorHAnsi" w:cstheme="minorBidi"/>
          <w:b w:val="0"/>
          <w:bCs w:val="0"/>
          <w:sz w:val="28"/>
          <w:szCs w:val="36"/>
        </w:rPr>
      </w:pPr>
      <w:r>
        <w:rPr>
          <w:rStyle w:val="18"/>
          <w:rFonts w:hint="eastAsia" w:ascii="仿宋_GB2312" w:eastAsia="仿宋_GB2312" w:hAnsiTheme="minorHAnsi" w:cstheme="minorBidi"/>
          <w:b w:val="0"/>
          <w:bCs w:val="0"/>
          <w:sz w:val="28"/>
          <w:szCs w:val="36"/>
        </w:rPr>
        <w:t>（3）整体支出评价涉及对象及范围</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lang w:eastAsia="zh-CN"/>
        </w:rPr>
        <w:t>涉及对象：本次评价对象是特克斯县八卦名城旅游风景区所有财政资金支出活动。</w:t>
      </w:r>
    </w:p>
    <w:p>
      <w:pPr>
        <w:spacing w:line="360" w:lineRule="auto"/>
        <w:ind w:firstLine="560" w:firstLineChars="200"/>
        <w:rPr>
          <w:rStyle w:val="18"/>
          <w:rFonts w:hint="eastAsia" w:ascii="仿宋_GB2312" w:eastAsia="仿宋_GB2312" w:hAnsiTheme="minorHAnsi" w:cstheme="minorBidi"/>
          <w:b w:val="0"/>
          <w:bCs w:val="0"/>
          <w:sz w:val="28"/>
          <w:szCs w:val="36"/>
        </w:rPr>
      </w:pPr>
      <w:r>
        <w:rPr>
          <w:rStyle w:val="18"/>
          <w:rFonts w:hint="eastAsia" w:ascii="仿宋_GB2312" w:eastAsia="仿宋_GB2312" w:hAnsiTheme="minorHAnsi" w:cstheme="minorBidi"/>
          <w:b w:val="0"/>
          <w:bCs w:val="0"/>
          <w:sz w:val="28"/>
          <w:szCs w:val="36"/>
        </w:rPr>
        <w:t>整体支出评价范围：</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lang w:eastAsia="zh-CN"/>
        </w:rPr>
        <w:fldChar w:fldCharType="begin"/>
      </w:r>
      <w:r>
        <w:rPr>
          <w:rStyle w:val="18"/>
          <w:rFonts w:hint="eastAsia" w:ascii="仿宋_GB2312" w:hAnsi="楷体" w:eastAsia="仿宋_GB2312" w:cstheme="minorBidi"/>
          <w:b w:val="0"/>
          <w:spacing w:val="-4"/>
          <w:sz w:val="28"/>
          <w:szCs w:val="28"/>
          <w:lang w:eastAsia="zh-CN"/>
        </w:rPr>
        <w:instrText xml:space="preserve"> = 1 \* GB3 </w:instrText>
      </w:r>
      <w:r>
        <w:rPr>
          <w:rStyle w:val="18"/>
          <w:rFonts w:hint="eastAsia" w:ascii="仿宋_GB2312" w:hAnsi="楷体" w:eastAsia="仿宋_GB2312" w:cstheme="minorBidi"/>
          <w:b w:val="0"/>
          <w:spacing w:val="-4"/>
          <w:sz w:val="28"/>
          <w:szCs w:val="28"/>
          <w:lang w:eastAsia="zh-CN"/>
        </w:rPr>
        <w:fldChar w:fldCharType="separate"/>
      </w:r>
      <w:r>
        <w:rPr>
          <w:rStyle w:val="18"/>
          <w:rFonts w:hint="eastAsia" w:ascii="仿宋_GB2312" w:hAnsi="楷体" w:eastAsia="仿宋_GB2312" w:cstheme="minorBidi"/>
          <w:b w:val="0"/>
          <w:spacing w:val="-4"/>
          <w:sz w:val="28"/>
          <w:szCs w:val="28"/>
          <w:lang w:eastAsia="zh-CN"/>
        </w:rPr>
        <w:t>①</w:t>
      </w:r>
      <w:r>
        <w:rPr>
          <w:rStyle w:val="18"/>
          <w:rFonts w:hint="eastAsia" w:ascii="仿宋_GB2312" w:hAnsi="楷体" w:eastAsia="仿宋_GB2312" w:cstheme="minorBidi"/>
          <w:b w:val="0"/>
          <w:spacing w:val="-4"/>
          <w:sz w:val="28"/>
          <w:szCs w:val="28"/>
          <w:lang w:eastAsia="zh-CN"/>
        </w:rPr>
        <w:fldChar w:fldCharType="end"/>
      </w:r>
      <w:r>
        <w:rPr>
          <w:rStyle w:val="18"/>
          <w:rFonts w:hint="eastAsia" w:ascii="仿宋_GB2312" w:hAnsi="楷体" w:eastAsia="仿宋_GB2312" w:cstheme="minorBidi"/>
          <w:b w:val="0"/>
          <w:spacing w:val="-4"/>
          <w:sz w:val="28"/>
          <w:szCs w:val="28"/>
          <w:lang w:eastAsia="zh-CN"/>
        </w:rPr>
        <w:t>基本支出415.79万元，其中：工资福利支出、商品和服务支出、对个人和家庭的补助、资本性支出。</w:t>
      </w:r>
    </w:p>
    <w:p>
      <w:pPr>
        <w:spacing w:line="360" w:lineRule="auto"/>
        <w:ind w:firstLine="544" w:firstLineChars="200"/>
        <w:rPr>
          <w:rStyle w:val="18"/>
          <w:rFonts w:hint="eastAsia" w:ascii="仿宋_GB2312" w:hAnsi="楷体" w:eastAsia="仿宋_GB2312" w:cstheme="minorBidi"/>
          <w:b w:val="0"/>
          <w:spacing w:val="-4"/>
          <w:sz w:val="28"/>
          <w:szCs w:val="28"/>
          <w:lang w:eastAsia="zh-CN"/>
        </w:rPr>
      </w:pPr>
      <w:r>
        <w:rPr>
          <w:rStyle w:val="18"/>
          <w:rFonts w:hint="eastAsia" w:ascii="仿宋_GB2312" w:hAnsi="楷体" w:eastAsia="仿宋_GB2312" w:cstheme="minorBidi"/>
          <w:b w:val="0"/>
          <w:spacing w:val="-4"/>
          <w:sz w:val="28"/>
          <w:szCs w:val="28"/>
          <w:lang w:eastAsia="zh-CN"/>
        </w:rPr>
        <w:fldChar w:fldCharType="begin"/>
      </w:r>
      <w:r>
        <w:rPr>
          <w:rStyle w:val="18"/>
          <w:rFonts w:hint="eastAsia" w:ascii="仿宋_GB2312" w:hAnsi="楷体" w:eastAsia="仿宋_GB2312" w:cstheme="minorBidi"/>
          <w:b w:val="0"/>
          <w:spacing w:val="-4"/>
          <w:sz w:val="28"/>
          <w:szCs w:val="28"/>
          <w:lang w:eastAsia="zh-CN"/>
        </w:rPr>
        <w:instrText xml:space="preserve"> = 2 \* GB3 </w:instrText>
      </w:r>
      <w:r>
        <w:rPr>
          <w:rStyle w:val="18"/>
          <w:rFonts w:hint="eastAsia" w:ascii="仿宋_GB2312" w:hAnsi="楷体" w:eastAsia="仿宋_GB2312" w:cstheme="minorBidi"/>
          <w:b w:val="0"/>
          <w:spacing w:val="-4"/>
          <w:sz w:val="28"/>
          <w:szCs w:val="28"/>
          <w:lang w:eastAsia="zh-CN"/>
        </w:rPr>
        <w:fldChar w:fldCharType="separate"/>
      </w:r>
      <w:r>
        <w:rPr>
          <w:rStyle w:val="18"/>
          <w:rFonts w:hint="eastAsia" w:ascii="仿宋_GB2312" w:hAnsi="楷体" w:eastAsia="仿宋_GB2312" w:cstheme="minorBidi"/>
          <w:b w:val="0"/>
          <w:spacing w:val="-4"/>
          <w:sz w:val="28"/>
          <w:szCs w:val="28"/>
          <w:lang w:eastAsia="zh-CN"/>
        </w:rPr>
        <w:t>②</w:t>
      </w:r>
      <w:r>
        <w:rPr>
          <w:rStyle w:val="18"/>
          <w:rFonts w:hint="eastAsia" w:ascii="仿宋_GB2312" w:hAnsi="楷体" w:eastAsia="仿宋_GB2312" w:cstheme="minorBidi"/>
          <w:b w:val="0"/>
          <w:spacing w:val="-4"/>
          <w:sz w:val="28"/>
          <w:szCs w:val="28"/>
          <w:lang w:eastAsia="zh-CN"/>
        </w:rPr>
        <w:fldChar w:fldCharType="end"/>
      </w:r>
      <w:r>
        <w:rPr>
          <w:rStyle w:val="18"/>
          <w:rFonts w:hint="eastAsia" w:ascii="仿宋_GB2312" w:hAnsi="楷体" w:eastAsia="仿宋_GB2312" w:cstheme="minorBidi"/>
          <w:b w:val="0"/>
          <w:spacing w:val="-4"/>
          <w:sz w:val="28"/>
          <w:szCs w:val="28"/>
          <w:lang w:eastAsia="zh-CN"/>
        </w:rPr>
        <w:t>项目支出381.91万元：分别是一路红尘契税印花税金项目、乌孙夏都大门搬迁加固项目资金项</w:t>
      </w:r>
      <w:r>
        <w:rPr>
          <w:rStyle w:val="18"/>
          <w:rFonts w:hint="eastAsia" w:ascii="仿宋_GB2312" w:hAnsi="楷体" w:eastAsia="仿宋_GB2312" w:cstheme="minorBidi"/>
          <w:b w:val="0"/>
          <w:spacing w:val="-4"/>
          <w:sz w:val="28"/>
          <w:szCs w:val="28"/>
          <w:lang w:val="en-US" w:eastAsia="zh-CN"/>
        </w:rPr>
        <w:t>目、</w:t>
      </w:r>
      <w:r>
        <w:rPr>
          <w:rStyle w:val="18"/>
          <w:rFonts w:hint="eastAsia" w:ascii="仿宋_GB2312" w:hAnsi="楷体" w:eastAsia="仿宋_GB2312" w:cstheme="minorBidi"/>
          <w:b w:val="0"/>
          <w:spacing w:val="-4"/>
          <w:sz w:val="28"/>
          <w:szCs w:val="28"/>
          <w:lang w:eastAsia="zh-CN"/>
        </w:rPr>
        <w:t>喀拉峻景区乌孙夏都服务中心建设项目、喀拉峻项目指挥部经费、喀拉峻景区基础设施建设（喀拉峻国际生态旅游区门票收入的60％）项目、喀拉峻旅游风景区项目2019年财政投资评审项目咨询审核费。</w:t>
      </w:r>
    </w:p>
    <w:p>
      <w:pPr>
        <w:pStyle w:val="5"/>
        <w:spacing w:line="360" w:lineRule="auto"/>
        <w:rPr>
          <w:rFonts w:hint="eastAsia" w:ascii="仿宋" w:hAnsi="仿宋" w:eastAsia="仿宋" w:cstheme="majorBidi"/>
          <w:sz w:val="36"/>
          <w:szCs w:val="36"/>
          <w:lang w:bidi="ar"/>
        </w:rPr>
      </w:pPr>
      <w:bookmarkStart w:id="6" w:name="_Toc70450297"/>
      <w:r>
        <w:rPr>
          <w:rFonts w:hint="eastAsia" w:ascii="仿宋" w:hAnsi="仿宋" w:eastAsia="仿宋" w:cstheme="majorBidi"/>
          <w:sz w:val="36"/>
          <w:szCs w:val="36"/>
          <w:lang w:bidi="ar"/>
        </w:rPr>
        <w:t>二、部门单位整体支出管理及使用情况</w:t>
      </w:r>
      <w:bookmarkEnd w:id="6"/>
    </w:p>
    <w:p>
      <w:pPr>
        <w:pStyle w:val="6"/>
        <w:spacing w:line="360" w:lineRule="auto"/>
        <w:rPr>
          <w:rStyle w:val="18"/>
          <w:rFonts w:hint="eastAsia" w:ascii="仿宋" w:hAnsi="仿宋" w:eastAsia="仿宋" w:cstheme="minorBidi"/>
          <w:b/>
          <w:bCs/>
        </w:rPr>
      </w:pPr>
      <w:bookmarkStart w:id="7" w:name="_Toc70450298"/>
      <w:r>
        <w:rPr>
          <w:rStyle w:val="18"/>
          <w:rFonts w:hint="eastAsia" w:ascii="仿宋" w:hAnsi="仿宋" w:eastAsia="仿宋" w:cstheme="minorBidi"/>
          <w:b/>
          <w:bCs/>
        </w:rPr>
        <w:t>（一）预算管理</w:t>
      </w:r>
      <w:bookmarkEnd w:id="7"/>
    </w:p>
    <w:p>
      <w:pPr>
        <w:pStyle w:val="7"/>
        <w:spacing w:line="360" w:lineRule="auto"/>
        <w:ind w:firstLine="562" w:firstLineChars="200"/>
        <w:rPr>
          <w:rStyle w:val="18"/>
          <w:rFonts w:hint="eastAsia" w:ascii="仿宋" w:hAnsi="仿宋" w:eastAsia="仿宋" w:cstheme="minorBidi"/>
          <w:b/>
          <w:bCs/>
        </w:rPr>
      </w:pPr>
      <w:bookmarkStart w:id="8" w:name="_Toc70450299"/>
      <w:r>
        <w:rPr>
          <w:rStyle w:val="18"/>
          <w:rFonts w:hint="eastAsia" w:ascii="仿宋" w:hAnsi="仿宋" w:eastAsia="仿宋" w:cstheme="minorBidi"/>
          <w:b/>
          <w:bCs/>
        </w:rPr>
        <w:t>1、预算编制管理</w:t>
      </w:r>
      <w:bookmarkEnd w:id="8"/>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hAnsiTheme="minorHAnsi" w:cstheme="minorBidi"/>
          <w:sz w:val="28"/>
          <w:szCs w:val="36"/>
          <w:lang w:val="en-US" w:eastAsia="zh-CN"/>
        </w:rPr>
        <w:t>县</w:t>
      </w:r>
      <w:r>
        <w:rPr>
          <w:rFonts w:hint="eastAsia" w:ascii="仿宋_GB2312" w:eastAsia="仿宋_GB2312" w:hAnsiTheme="minorHAnsi" w:cstheme="minorBidi"/>
          <w:sz w:val="28"/>
          <w:szCs w:val="36"/>
        </w:rPr>
        <w:t>财政部门要求，部门预算及绩效目标在政府网站公开，</w:t>
      </w:r>
      <w:r>
        <w:rPr>
          <w:rFonts w:hint="eastAsia" w:ascii="仿宋_GB2312" w:eastAsia="仿宋_GB2312" w:hAnsiTheme="minorHAnsi" w:cstheme="minorBidi"/>
          <w:sz w:val="28"/>
          <w:szCs w:val="36"/>
          <w:lang w:val="zh-CN"/>
        </w:rPr>
        <w:t>广泛接受社会监督。</w:t>
      </w:r>
    </w:p>
    <w:p>
      <w:pPr>
        <w:pStyle w:val="7"/>
        <w:pageBreakBefore w:val="0"/>
        <w:kinsoku/>
        <w:wordWrap/>
        <w:overflowPunct/>
        <w:topLinePunct w:val="0"/>
        <w:autoSpaceDE/>
        <w:autoSpaceDN/>
        <w:bidi w:val="0"/>
        <w:adjustRightInd/>
        <w:spacing w:before="0" w:after="0" w:line="360" w:lineRule="auto"/>
        <w:ind w:left="0" w:leftChars="0" w:firstLine="562" w:firstLineChars="200"/>
        <w:jc w:val="left"/>
        <w:textAlignment w:val="auto"/>
        <w:rPr>
          <w:rStyle w:val="18"/>
          <w:rFonts w:hint="eastAsia" w:ascii="宋体" w:hAnsi="宋体" w:eastAsia="宋体" w:cs="宋体"/>
          <w:b/>
          <w:bCs/>
          <w:sz w:val="28"/>
          <w:szCs w:val="28"/>
        </w:rPr>
      </w:pPr>
      <w:bookmarkStart w:id="9" w:name="_Toc70450300"/>
      <w:r>
        <w:rPr>
          <w:rStyle w:val="18"/>
          <w:rFonts w:hint="eastAsia" w:ascii="宋体" w:hAnsi="宋体" w:eastAsia="宋体" w:cs="宋体"/>
          <w:b/>
          <w:bCs/>
          <w:sz w:val="28"/>
          <w:szCs w:val="28"/>
        </w:rPr>
        <w:t>2、预算支出管理</w:t>
      </w:r>
      <w:bookmarkEnd w:id="9"/>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我单位按照财政要求基本支出分月度申报资金使用计划，由财政部门按照进度每月按期拨付，人员支出按照工资计划发放工资；依照依照《</w:t>
      </w:r>
      <w:r>
        <w:rPr>
          <w:rFonts w:hint="eastAsia" w:ascii="仿宋_GB2312" w:eastAsia="仿宋_GB2312" w:hAnsiTheme="minorHAnsi" w:cstheme="minorBidi"/>
          <w:sz w:val="28"/>
          <w:szCs w:val="36"/>
          <w:lang w:eastAsia="zh-CN"/>
        </w:rPr>
        <w:t>特克斯县八卦名城旅游风景区管理委员财务制度</w:t>
      </w:r>
      <w:r>
        <w:rPr>
          <w:rFonts w:hint="eastAsia" w:ascii="仿宋_GB2312" w:eastAsia="仿宋_GB2312" w:hAnsiTheme="minorHAnsi" w:cstheme="minorBidi"/>
          <w:sz w:val="28"/>
          <w:szCs w:val="36"/>
        </w:rPr>
        <w:t>》相关规定和《</w:t>
      </w:r>
      <w:r>
        <w:rPr>
          <w:rFonts w:hint="eastAsia" w:ascii="仿宋_GB2312" w:eastAsia="仿宋_GB2312" w:hAnsiTheme="minorHAnsi" w:cstheme="minorBidi"/>
          <w:sz w:val="28"/>
          <w:szCs w:val="36"/>
          <w:lang w:eastAsia="zh-CN"/>
        </w:rPr>
        <w:t>预算法</w:t>
      </w:r>
      <w:r>
        <w:rPr>
          <w:rFonts w:hint="eastAsia" w:ascii="仿宋_GB2312" w:eastAsia="仿宋_GB2312" w:hAnsiTheme="minorHAnsi" w:cstheme="minorBidi"/>
          <w:sz w:val="28"/>
          <w:szCs w:val="36"/>
        </w:rPr>
        <w:t>》规定流程</w:t>
      </w: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rPr>
        <w:t>资金支出按照我内控体系中设定的流程申报审批进行；项目支出属于政府采购的，按照政府采购相关文件组织人员制定采购计划，按照财政局采购部门批复，进行公开招标、邀请招标等方式进行；属于非政府采购的项目，按照“三重一大”制度规定，重大项目支出上党组会研究决定。</w:t>
      </w:r>
    </w:p>
    <w:p>
      <w:pPr>
        <w:pStyle w:val="6"/>
        <w:pageBreakBefore w:val="0"/>
        <w:kinsoku/>
        <w:wordWrap/>
        <w:overflowPunct/>
        <w:topLinePunct w:val="0"/>
        <w:autoSpaceDE/>
        <w:autoSpaceDN/>
        <w:bidi w:val="0"/>
        <w:adjustRightInd/>
        <w:spacing w:before="0" w:after="0" w:line="360" w:lineRule="auto"/>
        <w:ind w:left="0" w:leftChars="0" w:firstLine="562" w:firstLineChars="200"/>
        <w:jc w:val="left"/>
        <w:textAlignment w:val="auto"/>
        <w:rPr>
          <w:rStyle w:val="18"/>
          <w:rFonts w:hint="eastAsia" w:ascii="宋体" w:hAnsi="宋体" w:eastAsia="宋体" w:cs="宋体"/>
          <w:b/>
          <w:bCs/>
          <w:sz w:val="28"/>
          <w:szCs w:val="28"/>
        </w:rPr>
      </w:pPr>
      <w:bookmarkStart w:id="10" w:name="_Toc70450301"/>
      <w:r>
        <w:rPr>
          <w:rStyle w:val="18"/>
          <w:rFonts w:hint="eastAsia" w:ascii="宋体" w:hAnsi="宋体" w:eastAsia="宋体" w:cs="宋体"/>
          <w:b/>
          <w:bCs/>
          <w:sz w:val="28"/>
          <w:szCs w:val="28"/>
        </w:rPr>
        <w:t>（二）基本支出管理及使用情况</w:t>
      </w:r>
      <w:bookmarkEnd w:id="10"/>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highlight w:val="none"/>
        </w:rPr>
        <w:t>2021年基本</w:t>
      </w:r>
      <w:r>
        <w:rPr>
          <w:rFonts w:hint="eastAsia" w:ascii="仿宋_GB2312" w:eastAsia="仿宋_GB2312" w:hAnsiTheme="minorHAnsi" w:cstheme="minorBidi"/>
          <w:sz w:val="28"/>
          <w:szCs w:val="36"/>
        </w:rPr>
        <w:t>支出预算安排 415.79万元，实际到位415.79万元,实际支出415.79万元，占总支出的5</w:t>
      </w:r>
      <w:r>
        <w:rPr>
          <w:rFonts w:hint="eastAsia" w:ascii="仿宋_GB2312" w:eastAsia="仿宋_GB2312" w:hAnsiTheme="minorHAnsi" w:cstheme="minorBidi"/>
          <w:sz w:val="28"/>
          <w:szCs w:val="36"/>
          <w:lang w:val="en-US" w:eastAsia="zh-CN"/>
        </w:rPr>
        <w:t>2.12</w:t>
      </w:r>
      <w:r>
        <w:rPr>
          <w:rFonts w:hint="eastAsia" w:ascii="仿宋_GB2312" w:eastAsia="仿宋_GB2312" w:hAnsiTheme="minorHAnsi" w:cstheme="minorBidi"/>
          <w:sz w:val="28"/>
          <w:szCs w:val="36"/>
        </w:rPr>
        <w:t>％，其中：工资福利支出329.20万元、商品和服务支出86.59万元、对个人和家庭的补助0 万元、主要用于单位人员和正常运转。资本性支出0万元。</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2021年基本支出比上年 371.09万元,增加44.70万元，上升12</w:t>
      </w:r>
      <w:r>
        <w:rPr>
          <w:rFonts w:hint="eastAsia" w:ascii="仿宋_GB2312" w:eastAsia="仿宋_GB2312" w:hAnsiTheme="minorHAnsi" w:cstheme="minorBidi"/>
          <w:sz w:val="28"/>
          <w:szCs w:val="36"/>
          <w:lang w:val="en-US" w:eastAsia="zh-CN"/>
        </w:rPr>
        <w:t>.05</w:t>
      </w:r>
      <w:r>
        <w:rPr>
          <w:rFonts w:hint="eastAsia" w:ascii="仿宋_GB2312" w:eastAsia="仿宋_GB2312" w:hAnsiTheme="minorHAnsi" w:cstheme="minorBidi"/>
          <w:sz w:val="28"/>
          <w:szCs w:val="36"/>
        </w:rPr>
        <w:t>%，支出上升的主要原因是人员增减变动、项目增加。</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2021年一般公共预算“三公”经费数为0.75万元，其中：因公出国（境）费 0 万元，公务用车购置 0万元，公务用车运行费 0.75万元，公务接待费0万元。</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2021年一般公共预算“三公”经费比上年增加0万元，其中：因公出国（境）费增加0万元，主要原因是未安排预算；公务用车购置费为0，未安排预算。公务用车运行费增加0 万元，主要原因是严格控制公务车费用；公务接待费增加0万元，主要原因是未安排预算。</w:t>
      </w:r>
    </w:p>
    <w:p>
      <w:pPr>
        <w:pStyle w:val="6"/>
        <w:spacing w:line="360" w:lineRule="auto"/>
        <w:rPr>
          <w:rStyle w:val="18"/>
          <w:rFonts w:hint="eastAsia" w:ascii="仿宋" w:hAnsi="仿宋" w:eastAsia="仿宋" w:cstheme="minorBidi"/>
          <w:b/>
          <w:bCs/>
        </w:rPr>
      </w:pPr>
      <w:bookmarkStart w:id="11" w:name="_Toc70450302"/>
      <w:r>
        <w:rPr>
          <w:rStyle w:val="18"/>
          <w:rFonts w:hint="eastAsia" w:ascii="仿宋" w:hAnsi="仿宋" w:eastAsia="仿宋" w:cstheme="minorBidi"/>
          <w:b/>
          <w:bCs/>
        </w:rPr>
        <w:t>（三）专项支出管理及使用情况</w:t>
      </w:r>
      <w:bookmarkEnd w:id="11"/>
    </w:p>
    <w:p>
      <w:pPr>
        <w:pStyle w:val="7"/>
        <w:spacing w:line="360" w:lineRule="auto"/>
        <w:ind w:firstLine="562" w:firstLineChars="200"/>
        <w:rPr>
          <w:rStyle w:val="18"/>
          <w:rFonts w:hint="eastAsia" w:ascii="仿宋" w:hAnsi="仿宋" w:eastAsia="仿宋" w:cstheme="minorBidi"/>
          <w:b/>
          <w:bCs/>
        </w:rPr>
      </w:pPr>
      <w:bookmarkStart w:id="12" w:name="_Toc70450303"/>
      <w:r>
        <w:rPr>
          <w:rStyle w:val="18"/>
          <w:rFonts w:hint="eastAsia" w:ascii="仿宋" w:hAnsi="仿宋" w:eastAsia="仿宋" w:cstheme="minorBidi"/>
          <w:b/>
          <w:bCs/>
        </w:rPr>
        <w:t>1、专项资金安排落实、总投入等情况分析</w:t>
      </w:r>
      <w:bookmarkEnd w:id="12"/>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2021年预算安排专项资金381.91万元，实际到位381.91万元, 到位率</w:t>
      </w:r>
      <w:r>
        <w:rPr>
          <w:rFonts w:hint="eastAsia" w:ascii="仿宋_GB2312" w:eastAsia="仿宋_GB2312" w:hAnsiTheme="minorHAnsi" w:cstheme="minorBidi"/>
          <w:sz w:val="28"/>
          <w:szCs w:val="36"/>
          <w:lang w:val="en-US" w:eastAsia="zh-CN"/>
        </w:rPr>
        <w:t>100</w:t>
      </w:r>
      <w:r>
        <w:rPr>
          <w:rFonts w:hint="eastAsia" w:ascii="仿宋_GB2312" w:eastAsia="仿宋_GB2312" w:hAnsiTheme="minorHAnsi" w:cstheme="minorBidi"/>
          <w:sz w:val="28"/>
          <w:szCs w:val="36"/>
        </w:rPr>
        <w:t>％,其中:中央转移支付项目资金0万元，自治区资金0万元，本级安排381.91万元。</w:t>
      </w:r>
    </w:p>
    <w:p>
      <w:pPr>
        <w:pStyle w:val="7"/>
        <w:pageBreakBefore w:val="0"/>
        <w:kinsoku/>
        <w:wordWrap/>
        <w:overflowPunct/>
        <w:topLinePunct w:val="0"/>
        <w:autoSpaceDE/>
        <w:autoSpaceDN/>
        <w:bidi w:val="0"/>
        <w:adjustRightInd/>
        <w:spacing w:before="0" w:after="0" w:line="360" w:lineRule="auto"/>
        <w:ind w:left="0" w:leftChars="0" w:firstLine="562" w:firstLineChars="200"/>
        <w:jc w:val="left"/>
        <w:textAlignment w:val="auto"/>
        <w:rPr>
          <w:rStyle w:val="18"/>
          <w:rFonts w:hint="eastAsia" w:ascii="宋体" w:hAnsi="宋体" w:eastAsia="宋体" w:cs="宋体"/>
          <w:b/>
          <w:bCs/>
          <w:sz w:val="28"/>
          <w:szCs w:val="28"/>
        </w:rPr>
      </w:pPr>
      <w:bookmarkStart w:id="13" w:name="_Toc70450304"/>
      <w:r>
        <w:rPr>
          <w:rStyle w:val="18"/>
          <w:rFonts w:hint="eastAsia" w:ascii="宋体" w:hAnsi="宋体" w:eastAsia="宋体" w:cs="宋体"/>
          <w:b/>
          <w:bCs/>
          <w:sz w:val="28"/>
          <w:szCs w:val="28"/>
        </w:rPr>
        <w:t>2、专项资金实际使用情况</w:t>
      </w:r>
      <w:bookmarkEnd w:id="13"/>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2021年项目支出381.91万元，占总支出的47</w:t>
      </w:r>
      <w:r>
        <w:rPr>
          <w:rFonts w:hint="eastAsia" w:ascii="仿宋_GB2312" w:eastAsia="仿宋_GB2312" w:hAnsiTheme="minorHAnsi" w:cstheme="minorBidi"/>
          <w:sz w:val="28"/>
          <w:szCs w:val="36"/>
          <w:lang w:val="en-US" w:eastAsia="zh-CN"/>
        </w:rPr>
        <w:t>.88</w:t>
      </w:r>
      <w:r>
        <w:rPr>
          <w:rFonts w:hint="eastAsia" w:ascii="仿宋_GB2312" w:eastAsia="仿宋_GB2312" w:hAnsiTheme="minorHAnsi" w:cstheme="minorBidi"/>
          <w:sz w:val="28"/>
          <w:szCs w:val="36"/>
        </w:rPr>
        <w:t>％。其中：法律咨询顾问费项目安排9万元，主要用于完成单位法律咨询服务  ，一路红尘契税印花税金项目安排2.70万元，主要用于完成一路红尘影视剧契税。乌孙夏都大门搬迁加固项目资金项目安排 9.8万元，主要用于完成完成乌孙夏都大门搬迁加固项目。喀拉峻景区乌孙夏都服务中心建设项目安排27.10万元，主要用于完成喀拉峻景区乌孙夏都服务中心建设。喀拉峻项目指挥部经费安排 6万元，主要用于完成喀拉峻项目指挥工作。喀拉峻景区基础设施建设（喀拉峻国际生态旅游区门票收入的60％）项目安排326.96万元，主要用于完成喀拉峻基础设施建设。喀拉峻旅游风景区项目2019年财政投资评审项目咨询审核费安排0.36万元，主要用于完成项目评审工作。</w:t>
      </w:r>
    </w:p>
    <w:p>
      <w:pPr>
        <w:pStyle w:val="7"/>
        <w:pageBreakBefore w:val="0"/>
        <w:kinsoku/>
        <w:wordWrap/>
        <w:overflowPunct/>
        <w:topLinePunct w:val="0"/>
        <w:autoSpaceDE/>
        <w:autoSpaceDN/>
        <w:bidi w:val="0"/>
        <w:adjustRightInd/>
        <w:spacing w:before="0" w:after="0" w:line="360" w:lineRule="auto"/>
        <w:ind w:left="0" w:leftChars="0" w:firstLine="562" w:firstLineChars="200"/>
        <w:jc w:val="left"/>
        <w:textAlignment w:val="auto"/>
        <w:rPr>
          <w:rStyle w:val="18"/>
          <w:rFonts w:hint="eastAsia" w:ascii="宋体" w:hAnsi="宋体" w:eastAsia="宋体" w:cs="宋体"/>
          <w:b/>
          <w:bCs/>
          <w:sz w:val="28"/>
          <w:szCs w:val="28"/>
        </w:rPr>
      </w:pPr>
      <w:bookmarkStart w:id="14" w:name="_Toc70450305"/>
      <w:r>
        <w:rPr>
          <w:rStyle w:val="18"/>
          <w:rFonts w:hint="eastAsia" w:ascii="宋体" w:hAnsi="宋体" w:eastAsia="宋体" w:cs="宋体"/>
          <w:b/>
          <w:bCs/>
          <w:sz w:val="28"/>
          <w:szCs w:val="28"/>
        </w:rPr>
        <w:t>3、专项资金管理情况</w:t>
      </w:r>
      <w:bookmarkEnd w:id="14"/>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为规范专项资金使用，提高专项资金使用效益，我单位主要采取四项措施。</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一是制订专项资金管理制度；二是各专项资金建立了专帐；三是制订了项目实施方案；四是认真组织项目验收。切实确保专项资金都做到了专款专用。其中：</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1）制定了《特克斯县八卦名城旅游风景区管理委员会专项资金管理办法》，各项资金使用审批流程均按规定办理。涉及“三重一大”内容，严格按照规定提请局党组会审议决定，包括项目资金分配、重大项目确定、大额资金支付等。</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（2）建立特克斯县八卦名城旅游风景区管理委员会专项资金专帐，做到有据可依，有据可查。</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（3）制订了特克斯县八卦名城旅游风景区管理委员会项目实施方案，确保项目顺利进行。</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（4）认真组织项目验收，确保验收符合程序。</w:t>
      </w:r>
    </w:p>
    <w:p>
      <w:pPr>
        <w:spacing w:line="360" w:lineRule="auto"/>
        <w:ind w:firstLine="506" w:firstLineChars="181"/>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专项资金涉及政府采购项目的，按照政府采购相关法律政策，组织人员制定采购计划，按照财政局采购部门批复，进行公开招标、邀请招标等方式进行。</w:t>
      </w:r>
    </w:p>
    <w:p>
      <w:pPr>
        <w:pStyle w:val="5"/>
        <w:spacing w:line="360" w:lineRule="auto"/>
        <w:rPr>
          <w:rFonts w:hint="eastAsia" w:ascii="仿宋" w:hAnsi="仿宋" w:eastAsia="仿宋" w:cstheme="majorBidi"/>
          <w:sz w:val="36"/>
          <w:szCs w:val="36"/>
          <w:lang w:bidi="ar"/>
        </w:rPr>
      </w:pPr>
      <w:bookmarkStart w:id="15" w:name="_Toc70450306"/>
      <w:r>
        <w:rPr>
          <w:rFonts w:hint="eastAsia" w:ascii="仿宋" w:hAnsi="仿宋" w:eastAsia="仿宋" w:cstheme="majorBidi"/>
          <w:sz w:val="36"/>
          <w:szCs w:val="36"/>
          <w:lang w:bidi="ar"/>
        </w:rPr>
        <w:t>三、部门单位专项组织实施情况</w:t>
      </w:r>
      <w:bookmarkEnd w:id="15"/>
    </w:p>
    <w:p>
      <w:pPr>
        <w:pStyle w:val="7"/>
        <w:numPr>
          <w:ilvl w:val="0"/>
          <w:numId w:val="1"/>
        </w:numPr>
        <w:spacing w:line="360" w:lineRule="auto"/>
        <w:rPr>
          <w:rStyle w:val="18"/>
          <w:rFonts w:hint="eastAsia" w:ascii="仿宋" w:hAnsi="仿宋" w:eastAsia="仿宋" w:cstheme="minorBidi"/>
          <w:b/>
          <w:bCs/>
        </w:rPr>
      </w:pPr>
      <w:bookmarkStart w:id="16" w:name="_Toc70450308"/>
      <w:r>
        <w:rPr>
          <w:rStyle w:val="18"/>
          <w:rFonts w:hint="eastAsia" w:ascii="仿宋" w:hAnsi="仿宋" w:eastAsia="仿宋" w:cstheme="minorBidi"/>
          <w:b/>
          <w:bCs/>
        </w:rPr>
        <w:t>专项组织情况分析</w:t>
      </w:r>
      <w:bookmarkEnd w:id="16"/>
    </w:p>
    <w:p>
      <w:pPr>
        <w:snapToGrid w:val="0"/>
        <w:spacing w:line="360" w:lineRule="auto"/>
        <w:ind w:firstLine="544" w:firstLineChars="200"/>
        <w:rPr>
          <w:rStyle w:val="18"/>
          <w:rFonts w:hint="eastAsia" w:ascii="仿宋_GB2312" w:hAnsi="楷体" w:eastAsia="仿宋_GB2312" w:cstheme="minorBidi"/>
          <w:b w:val="0"/>
          <w:bCs w:val="0"/>
          <w:spacing w:val="-4"/>
          <w:sz w:val="28"/>
          <w:szCs w:val="28"/>
        </w:rPr>
      </w:pPr>
      <w:r>
        <w:rPr>
          <w:rStyle w:val="18"/>
          <w:rFonts w:hint="eastAsia" w:ascii="仿宋_GB2312" w:hAnsi="楷体" w:eastAsia="仿宋_GB2312" w:cstheme="minorBidi"/>
          <w:b w:val="0"/>
          <w:bCs w:val="0"/>
          <w:spacing w:val="-4"/>
          <w:sz w:val="28"/>
          <w:szCs w:val="28"/>
        </w:rPr>
        <w:t>1、前期准备</w:t>
      </w:r>
    </w:p>
    <w:p>
      <w:pPr>
        <w:snapToGrid w:val="0"/>
        <w:spacing w:line="360" w:lineRule="auto"/>
        <w:ind w:firstLine="544" w:firstLineChars="200"/>
        <w:rPr>
          <w:rStyle w:val="18"/>
          <w:rFonts w:ascii="仿宋_GB2312" w:hAnsi="楷体" w:eastAsia="仿宋_GB2312"/>
          <w:b w:val="0"/>
          <w:bCs w:val="0"/>
          <w:color w:val="auto"/>
          <w:spacing w:val="-4"/>
          <w:sz w:val="28"/>
          <w:szCs w:val="28"/>
        </w:rPr>
      </w:pPr>
      <w:r>
        <w:rPr>
          <w:rStyle w:val="18"/>
          <w:rFonts w:hint="eastAsia" w:ascii="仿宋_GB2312" w:hAnsi="楷体" w:eastAsia="仿宋_GB2312"/>
          <w:b w:val="0"/>
          <w:bCs w:val="0"/>
          <w:color w:val="auto"/>
          <w:spacing w:val="-4"/>
          <w:sz w:val="28"/>
          <w:szCs w:val="28"/>
        </w:rPr>
        <w:t>年初我单位下发的</w:t>
      </w:r>
      <w:r>
        <w:rPr>
          <w:rStyle w:val="18"/>
          <w:rFonts w:hint="eastAsia" w:ascii="仿宋_GB2312" w:hAnsi="楷体" w:eastAsia="仿宋_GB2312"/>
          <w:b w:val="0"/>
          <w:bCs w:val="0"/>
          <w:color w:val="auto"/>
          <w:spacing w:val="-4"/>
          <w:sz w:val="28"/>
          <w:szCs w:val="28"/>
          <w:lang w:val="en-US" w:eastAsia="zh-CN"/>
        </w:rPr>
        <w:t>旅游</w:t>
      </w:r>
      <w:r>
        <w:rPr>
          <w:rStyle w:val="18"/>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8"/>
          <w:rFonts w:ascii="仿宋_GB2312" w:hAnsi="楷体" w:eastAsia="仿宋_GB2312"/>
          <w:b w:val="0"/>
          <w:bCs w:val="0"/>
          <w:color w:val="auto"/>
          <w:spacing w:val="-4"/>
          <w:sz w:val="28"/>
          <w:szCs w:val="28"/>
        </w:rPr>
        <w:t>1</w:t>
      </w:r>
      <w:r>
        <w:rPr>
          <w:rStyle w:val="18"/>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pageBreakBefore w:val="0"/>
        <w:kinsoku/>
        <w:wordWrap/>
        <w:overflowPunct/>
        <w:topLinePunct w:val="0"/>
        <w:autoSpaceDE/>
        <w:autoSpaceDN/>
        <w:bidi w:val="0"/>
        <w:adjustRightInd/>
        <w:snapToGrid w:val="0"/>
        <w:spacing w:line="360" w:lineRule="auto"/>
        <w:ind w:left="0" w:leftChars="0" w:firstLine="544" w:firstLineChars="200"/>
        <w:jc w:val="left"/>
        <w:textAlignment w:val="auto"/>
        <w:rPr>
          <w:rStyle w:val="18"/>
          <w:rFonts w:hint="eastAsia" w:ascii="宋体" w:hAnsi="宋体" w:eastAsia="宋体" w:cs="宋体"/>
          <w:b w:val="0"/>
          <w:bCs w:val="0"/>
          <w:spacing w:val="-4"/>
          <w:sz w:val="28"/>
          <w:szCs w:val="28"/>
        </w:rPr>
      </w:pPr>
      <w:r>
        <w:rPr>
          <w:rStyle w:val="18"/>
          <w:rFonts w:hint="eastAsia" w:ascii="宋体" w:hAnsi="宋体" w:eastAsia="宋体" w:cs="宋体"/>
          <w:b w:val="0"/>
          <w:bCs w:val="0"/>
          <w:spacing w:val="-4"/>
          <w:sz w:val="28"/>
          <w:szCs w:val="28"/>
        </w:rPr>
        <w:t>2、组织实施</w:t>
      </w:r>
    </w:p>
    <w:p>
      <w:pPr>
        <w:snapToGrid w:val="0"/>
        <w:spacing w:line="360" w:lineRule="auto"/>
        <w:ind w:firstLine="544" w:firstLineChars="200"/>
        <w:rPr>
          <w:rStyle w:val="18"/>
          <w:rFonts w:hint="eastAsia" w:ascii="仿宋_GB2312" w:hAnsi="楷体" w:eastAsia="仿宋_GB2312"/>
          <w:b w:val="0"/>
          <w:bCs w:val="0"/>
          <w:color w:val="auto"/>
          <w:spacing w:val="-4"/>
          <w:sz w:val="28"/>
          <w:szCs w:val="28"/>
        </w:rPr>
      </w:pPr>
      <w:r>
        <w:rPr>
          <w:rStyle w:val="18"/>
          <w:rFonts w:hint="eastAsia" w:ascii="仿宋_GB2312" w:hAnsi="楷体" w:eastAsia="仿宋_GB2312"/>
          <w:b w:val="0"/>
          <w:bCs w:val="0"/>
          <w:color w:val="auto"/>
          <w:spacing w:val="-4"/>
          <w:sz w:val="28"/>
          <w:szCs w:val="28"/>
        </w:rPr>
        <w:t>2021年以内控体系建设为抓手,进一步完善财务制度,规范收支流程,严格审批制度。严格执行各项财经制度和管理规定,对预算资金严格控制,规范使用,强化执行，年初下达预算需达到执行率100%。加强专项资金的管理和核算,专项资金严格按照项目实施方案执行。接受各项财务检查中未发现重大管理漏洞和问题, 并通过检查推进财务规范化管理。</w:t>
      </w:r>
    </w:p>
    <w:p>
      <w:pPr>
        <w:snapToGrid w:val="0"/>
        <w:spacing w:line="360" w:lineRule="auto"/>
        <w:ind w:firstLine="544" w:firstLineChars="200"/>
        <w:rPr>
          <w:rStyle w:val="18"/>
          <w:rFonts w:hint="eastAsia" w:ascii="仿宋_GB2312" w:hAnsi="楷体" w:eastAsia="仿宋_GB2312"/>
          <w:b w:val="0"/>
          <w:bCs w:val="0"/>
          <w:color w:val="auto"/>
          <w:spacing w:val="-4"/>
          <w:sz w:val="28"/>
          <w:szCs w:val="28"/>
        </w:rPr>
      </w:pPr>
      <w:r>
        <w:rPr>
          <w:rStyle w:val="18"/>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8"/>
          <w:rFonts w:hint="eastAsia" w:ascii="仿宋_GB2312" w:hAnsi="楷体" w:eastAsia="仿宋_GB2312"/>
          <w:b w:val="0"/>
          <w:bCs w:val="0"/>
          <w:color w:val="auto"/>
          <w:spacing w:val="-4"/>
          <w:sz w:val="28"/>
          <w:szCs w:val="28"/>
        </w:rPr>
      </w:pPr>
      <w:r>
        <w:rPr>
          <w:rStyle w:val="18"/>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8"/>
          <w:rFonts w:hint="eastAsia" w:ascii="仿宋_GB2312" w:hAnsi="楷体" w:eastAsia="仿宋_GB2312"/>
          <w:b w:val="0"/>
          <w:bCs w:val="0"/>
          <w:color w:val="auto"/>
          <w:spacing w:val="-4"/>
          <w:sz w:val="28"/>
          <w:szCs w:val="28"/>
        </w:rPr>
      </w:pPr>
      <w:r>
        <w:rPr>
          <w:rStyle w:val="18"/>
          <w:rFonts w:hint="eastAsia" w:ascii="仿宋_GB2312" w:hAnsi="楷体" w:eastAsia="仿宋_GB2312"/>
          <w:b w:val="0"/>
          <w:bCs w:val="0"/>
          <w:color w:val="auto"/>
          <w:spacing w:val="-4"/>
          <w:sz w:val="28"/>
          <w:szCs w:val="28"/>
        </w:rPr>
        <w:t>截止12月31日，各专项均按照时间计划保质、保量完成。</w:t>
      </w:r>
    </w:p>
    <w:p>
      <w:pPr>
        <w:pStyle w:val="7"/>
        <w:numPr>
          <w:ilvl w:val="0"/>
          <w:numId w:val="1"/>
        </w:numPr>
        <w:spacing w:line="360" w:lineRule="auto"/>
        <w:rPr>
          <w:rStyle w:val="18"/>
          <w:rFonts w:hint="eastAsia" w:ascii="宋体" w:hAnsi="宋体" w:eastAsia="宋体" w:cs="宋体"/>
          <w:b/>
          <w:bCs/>
          <w:sz w:val="28"/>
          <w:szCs w:val="28"/>
        </w:rPr>
      </w:pPr>
      <w:bookmarkStart w:id="17" w:name="_Toc70450309"/>
      <w:r>
        <w:rPr>
          <w:rStyle w:val="18"/>
          <w:rFonts w:hint="eastAsia" w:ascii="宋体" w:hAnsi="宋体" w:eastAsia="宋体" w:cs="宋体"/>
          <w:b/>
          <w:bCs/>
          <w:sz w:val="28"/>
          <w:szCs w:val="28"/>
        </w:rPr>
        <w:t>专项管理情况分析</w:t>
      </w:r>
      <w:bookmarkEnd w:id="17"/>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1、资金到位及使用情况</w:t>
      </w:r>
    </w:p>
    <w:p>
      <w:pPr>
        <w:snapToGrid w:val="0"/>
        <w:spacing w:line="360" w:lineRule="auto"/>
        <w:ind w:firstLine="544" w:firstLineChars="200"/>
        <w:rPr>
          <w:rStyle w:val="18"/>
          <w:rFonts w:hint="eastAsia" w:ascii="仿宋_GB2312" w:hAnsi="楷体" w:eastAsia="仿宋_GB2312"/>
          <w:b w:val="0"/>
          <w:bCs w:val="0"/>
          <w:color w:val="auto"/>
          <w:spacing w:val="-4"/>
          <w:sz w:val="28"/>
          <w:szCs w:val="28"/>
        </w:rPr>
      </w:pPr>
      <w:r>
        <w:rPr>
          <w:rStyle w:val="18"/>
          <w:rFonts w:hint="eastAsia" w:ascii="仿宋_GB2312" w:hAnsi="楷体" w:eastAsia="仿宋_GB2312"/>
          <w:b w:val="0"/>
          <w:bCs w:val="0"/>
          <w:color w:val="auto"/>
          <w:spacing w:val="-4"/>
          <w:sz w:val="28"/>
          <w:szCs w:val="28"/>
        </w:rPr>
        <w:t>2021年涉及专项资金381.91万元，实际到位 381.91万元，资金到位率100%。截止到2021年12月31日执行381.91万元，执行率100%.。其中：2021年结转专项资金0万元，实际执行0万元，执行率为0%；2021年新增专项资金381.91万元，实际执行381.91万元，执行率为100%。</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2、资金管理情况</w:t>
      </w:r>
    </w:p>
    <w:p>
      <w:pPr>
        <w:snapToGrid w:val="0"/>
        <w:spacing w:line="360" w:lineRule="auto"/>
        <w:ind w:firstLine="544" w:firstLineChars="200"/>
        <w:rPr>
          <w:rStyle w:val="18"/>
          <w:rFonts w:hint="eastAsia" w:ascii="仿宋_GB2312" w:hAnsi="楷体" w:eastAsia="仿宋_GB2312"/>
          <w:b w:val="0"/>
          <w:bCs w:val="0"/>
          <w:color w:val="auto"/>
          <w:spacing w:val="-4"/>
          <w:sz w:val="28"/>
          <w:szCs w:val="28"/>
        </w:rPr>
      </w:pPr>
      <w:r>
        <w:rPr>
          <w:rStyle w:val="18"/>
          <w:rFonts w:hint="eastAsia" w:ascii="仿宋_GB2312" w:hAnsi="楷体" w:eastAsia="仿宋_GB2312"/>
          <w:b w:val="0"/>
          <w:bCs w:val="0"/>
          <w:color w:val="auto"/>
          <w:spacing w:val="-4"/>
          <w:sz w:val="28"/>
          <w:szCs w:val="28"/>
        </w:rPr>
        <w:t>我单位严格执行《专项资金管理办法》文件精神要求，加强对专项资金的绩效管理，确保专款专用，提高专项资金使用效益。遵守相关法律法规，严肃财经纪律，自觉接受财政、审计、监察监督检查。</w:t>
      </w:r>
    </w:p>
    <w:p>
      <w:pPr>
        <w:pStyle w:val="7"/>
        <w:numPr>
          <w:ilvl w:val="0"/>
          <w:numId w:val="1"/>
        </w:numPr>
        <w:spacing w:line="360" w:lineRule="auto"/>
        <w:rPr>
          <w:rStyle w:val="18"/>
          <w:rFonts w:hint="eastAsia" w:ascii="仿宋" w:hAnsi="仿宋" w:eastAsia="仿宋" w:cstheme="minorBidi"/>
          <w:b/>
          <w:bCs/>
        </w:rPr>
      </w:pPr>
      <w:r>
        <w:rPr>
          <w:rStyle w:val="18"/>
          <w:rFonts w:hint="eastAsia" w:ascii="仿宋" w:hAnsi="仿宋" w:eastAsia="仿宋" w:cstheme="minorBidi"/>
          <w:b/>
          <w:bCs/>
        </w:rPr>
        <w:t>项目实施情况分析</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1、组织情况</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特克斯县八卦名城旅游风景区管理委员会，根据2021年</w:t>
      </w:r>
      <w:r>
        <w:rPr>
          <w:rFonts w:hint="eastAsia" w:ascii="仿宋_GB2312" w:eastAsia="仿宋_GB2312" w:hAnsiTheme="minorHAnsi" w:cstheme="minorBidi"/>
          <w:sz w:val="28"/>
          <w:szCs w:val="36"/>
          <w:lang w:val="en-US" w:eastAsia="zh-CN"/>
        </w:rPr>
        <w:t>7</w:t>
      </w:r>
      <w:r>
        <w:rPr>
          <w:rFonts w:hint="eastAsia" w:ascii="仿宋_GB2312" w:eastAsia="仿宋_GB2312" w:hAnsiTheme="minorHAnsi" w:cstheme="minorBidi"/>
          <w:sz w:val="28"/>
          <w:szCs w:val="36"/>
        </w:rPr>
        <w:t>个项目的绩效目标及工作内容，将其细化分工至本单位</w:t>
      </w:r>
      <w:r>
        <w:rPr>
          <w:rFonts w:hint="eastAsia" w:ascii="仿宋_GB2312" w:eastAsia="仿宋_GB2312" w:hAnsiTheme="minorHAnsi" w:cstheme="minorBidi"/>
          <w:sz w:val="28"/>
          <w:szCs w:val="36"/>
          <w:lang w:val="en-US" w:eastAsia="zh-CN"/>
        </w:rPr>
        <w:t>4</w:t>
      </w:r>
      <w:r>
        <w:rPr>
          <w:rFonts w:hint="eastAsia" w:ascii="仿宋_GB2312" w:eastAsia="仿宋_GB2312" w:hAnsiTheme="minorHAnsi" w:cstheme="minorBidi"/>
          <w:sz w:val="28"/>
          <w:szCs w:val="36"/>
        </w:rPr>
        <w:t>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lang w:val="en-US" w:eastAsia="zh-CN"/>
        </w:rPr>
        <w:t>2、</w:t>
      </w:r>
      <w:r>
        <w:rPr>
          <w:rStyle w:val="18"/>
          <w:rFonts w:hint="eastAsia" w:ascii="仿宋_GB2312" w:hAnsi="楷体" w:eastAsia="仿宋_GB2312" w:cstheme="minorBidi"/>
          <w:b w:val="0"/>
          <w:spacing w:val="-4"/>
          <w:sz w:val="28"/>
          <w:szCs w:val="28"/>
        </w:rPr>
        <w:t>管理情况</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 xml:space="preserve">我单位严格遵守《会计法》、《预算法》、《行政单位财务规则》等法律和有关财政财务规章，规范财政资金管理，量入为出，统筹兼顾，突出重点，讲究实效，防范风险，合理使用各项资金，确保了我单位预算管理的成效，全年预算支出整体受控。 </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1）、严格规范资金收支审批制度。明确和划分人员责任，细化资金支付审批权限及审批流程，强化资金收支的内部控制，对重要的财务支出项目，应实施重点审批、严格审批；确保资金支出的内容和数据真实，各类经济事项符合开支标准和范围，符合效益性和节约性原则。</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强化预算约束。推行全面预算理念，在科学合理编制部门预算的基础上，对部门预算中各项经费进一步细化，分类施控，严格执行，实现对经济活动全程管控，确保所有工作都在预算范围内有序进行，以此强化预算源头管控和精细化管理。</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3）、强化流程管理。推进全面流程化管理，在专项资金分配、预算编制、财务审批和报销、资产管理、经济合同管理及政府采购等方面，都实施流程化、规范化管理模式，编制了财务管理操作流程，并设置了项目立项审议、大额资金通报、经济合同审批等环节，出台了《特克斯县八卦名城旅游风景区管理委员会单位经济合同管理办法》，以财务管理为“牛鼻子”，全面提高单位内部管理水平。</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4）、强化集中采购。树立全面节约意识，严控一般性经费支出。特别是在办公设备购置和办公用品使用方面，配合相关科室出台了《特克斯县八卦名城旅游风景区管理委员会单位办公设备购置管理办法》《特克斯县八卦名城旅游风景区管理委员会单位办公用品管理暂行办法》，按照厉行节约、统筹调剂、合理使用的原则加强审核，严控支出，并逐步取得了一定成效。</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lang w:val="en-US" w:eastAsia="zh-CN"/>
        </w:rPr>
        <w:t>3、</w:t>
      </w:r>
      <w:r>
        <w:rPr>
          <w:rStyle w:val="18"/>
          <w:rFonts w:hint="eastAsia" w:ascii="仿宋_GB2312" w:hAnsi="楷体" w:eastAsia="仿宋_GB2312" w:cstheme="minorBidi"/>
          <w:b w:val="0"/>
          <w:spacing w:val="-4"/>
          <w:sz w:val="28"/>
          <w:szCs w:val="28"/>
        </w:rPr>
        <w:t>监管情况</w:t>
      </w:r>
    </w:p>
    <w:p>
      <w:pPr>
        <w:spacing w:line="360" w:lineRule="auto"/>
        <w:ind w:firstLine="560" w:firstLineChars="200"/>
        <w:rPr>
          <w:rFonts w:hint="eastAsia" w:ascii="仿宋_GB2312" w:eastAsia="仿宋_GB2312" w:hAnsiTheme="minorHAnsi" w:cstheme="minorBidi"/>
          <w:sz w:val="28"/>
          <w:szCs w:val="36"/>
          <w:lang w:val="zh-CN"/>
        </w:rPr>
      </w:pPr>
      <w:r>
        <w:rPr>
          <w:rFonts w:hint="eastAsia" w:ascii="仿宋_GB2312" w:eastAsia="仿宋_GB2312" w:hAnsiTheme="minorHAnsi" w:cstheme="minorBidi"/>
          <w:sz w:val="28"/>
          <w:szCs w:val="36"/>
        </w:rPr>
        <w:t>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特克斯县八卦名城旅游风景区管理委员会财政局专项资金管理制度》，明确了项目资金管理的原则，对项目申报、项目的审核和确定、项目的实施和管理、验收、结果公示和资金拨付情况、绩效管理等进行了规范。我单位成立了领导小组，明确了分管领导、牵头科室和具体负责人。建立了沟通联系机制，组织调研，明确项目任务，制定项目实施方案。按季度对项目执行情况进行调度，定期对项目开展情况进行绩效考核，加快项目的实施。</w:t>
      </w:r>
    </w:p>
    <w:p>
      <w:pPr>
        <w:pStyle w:val="7"/>
        <w:numPr>
          <w:numId w:val="0"/>
        </w:numPr>
        <w:spacing w:line="360" w:lineRule="auto"/>
        <w:ind w:left="562" w:leftChars="0"/>
        <w:rPr>
          <w:rStyle w:val="18"/>
          <w:rFonts w:hint="eastAsia" w:ascii="宋体" w:hAnsi="宋体" w:eastAsia="宋体" w:cs="宋体"/>
          <w:b w:val="0"/>
          <w:bCs w:val="0"/>
          <w:spacing w:val="-4"/>
          <w:sz w:val="28"/>
          <w:szCs w:val="28"/>
        </w:rPr>
      </w:pPr>
      <w:r>
        <w:rPr>
          <w:rFonts w:hint="eastAsia" w:ascii="宋体" w:hAnsi="宋体" w:cs="宋体"/>
          <w:kern w:val="1"/>
          <w:sz w:val="28"/>
          <w:szCs w:val="28"/>
          <w:lang w:eastAsia="zh-CN"/>
        </w:rPr>
        <w:t>（</w:t>
      </w:r>
      <w:r>
        <w:rPr>
          <w:rFonts w:hint="eastAsia" w:ascii="宋体" w:hAnsi="宋体" w:cs="宋体"/>
          <w:kern w:val="1"/>
          <w:sz w:val="28"/>
          <w:szCs w:val="28"/>
          <w:lang w:val="en-US" w:eastAsia="zh-CN"/>
        </w:rPr>
        <w:t>四</w:t>
      </w:r>
      <w:r>
        <w:rPr>
          <w:rFonts w:hint="eastAsia" w:ascii="宋体" w:hAnsi="宋体" w:cs="宋体"/>
          <w:kern w:val="1"/>
          <w:sz w:val="28"/>
          <w:szCs w:val="28"/>
          <w:lang w:eastAsia="zh-CN"/>
        </w:rPr>
        <w:t>）</w:t>
      </w:r>
      <w:r>
        <w:rPr>
          <w:rFonts w:hint="eastAsia" w:ascii="宋体" w:hAnsi="宋体" w:eastAsia="宋体" w:cs="宋体"/>
          <w:kern w:val="1"/>
          <w:sz w:val="28"/>
          <w:szCs w:val="28"/>
        </w:rPr>
        <w:t>绩效情况分析</w:t>
      </w:r>
    </w:p>
    <w:p>
      <w:pPr>
        <w:spacing w:line="360" w:lineRule="auto"/>
        <w:ind w:firstLine="544" w:firstLineChars="200"/>
        <w:rPr>
          <w:rStyle w:val="18"/>
          <w:rFonts w:hint="eastAsia" w:ascii="仿宋_GB2312" w:hAnsi="楷体" w:eastAsia="仿宋_GB2312" w:cstheme="minorBidi"/>
          <w:b w:val="0"/>
          <w:bCs w:val="0"/>
          <w:spacing w:val="-4"/>
          <w:sz w:val="28"/>
          <w:szCs w:val="28"/>
        </w:rPr>
      </w:pPr>
      <w:r>
        <w:rPr>
          <w:rStyle w:val="18"/>
          <w:rFonts w:hint="eastAsia" w:ascii="仿宋_GB2312" w:hAnsi="楷体" w:eastAsia="仿宋_GB2312" w:cstheme="minorBidi"/>
          <w:b w:val="0"/>
          <w:bCs w:val="0"/>
          <w:spacing w:val="-4"/>
          <w:sz w:val="28"/>
          <w:szCs w:val="28"/>
        </w:rPr>
        <w:t>1、成本控制情况</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我单位所涉及专项项目均已于专项资金下达后按照资金文件及绩效管理要求设置《项目绩效目标表》。6个专项项目预算总额为381.91万元，在项目实施过程中，业务人员加强项目管理，合理控制项目成本，截止项目结束，6个项目总成本为381.91万元，不存在超支情况。</w:t>
      </w:r>
    </w:p>
    <w:p>
      <w:pPr>
        <w:spacing w:line="360" w:lineRule="auto"/>
        <w:ind w:firstLine="544" w:firstLineChars="200"/>
        <w:rPr>
          <w:rStyle w:val="18"/>
          <w:rFonts w:hint="eastAsia" w:ascii="仿宋_GB2312" w:hAnsi="楷体" w:eastAsia="仿宋_GB2312" w:cstheme="minorBidi"/>
          <w:b w:val="0"/>
          <w:bCs w:val="0"/>
          <w:spacing w:val="-4"/>
          <w:sz w:val="28"/>
          <w:szCs w:val="28"/>
        </w:rPr>
      </w:pPr>
      <w:r>
        <w:rPr>
          <w:rStyle w:val="18"/>
          <w:rFonts w:hint="eastAsia" w:ascii="仿宋_GB2312" w:hAnsi="楷体" w:eastAsia="仿宋_GB2312" w:cstheme="minorBidi"/>
          <w:b w:val="0"/>
          <w:bCs w:val="0"/>
          <w:spacing w:val="-4"/>
          <w:sz w:val="28"/>
          <w:szCs w:val="28"/>
        </w:rPr>
        <w:t>2、成本节约情况</w:t>
      </w:r>
    </w:p>
    <w:p>
      <w:pPr>
        <w:spacing w:line="360" w:lineRule="auto"/>
        <w:ind w:firstLine="560" w:firstLineChars="200"/>
        <w:rPr>
          <w:rFonts w:hint="eastAsia" w:ascii="仿宋_GB2312" w:eastAsia="仿宋_GB2312" w:hAnsiTheme="minorHAnsi" w:cstheme="minorBidi"/>
          <w:sz w:val="28"/>
          <w:szCs w:val="36"/>
          <w:lang w:eastAsia="zh-CN"/>
        </w:rPr>
      </w:pPr>
      <w:r>
        <w:rPr>
          <w:rFonts w:hint="eastAsia" w:ascii="仿宋_GB2312" w:eastAsia="仿宋_GB2312" w:hAnsiTheme="minorHAnsi" w:cstheme="minorBidi"/>
          <w:sz w:val="28"/>
          <w:szCs w:val="36"/>
        </w:rPr>
        <w:t>我单位所涉及专项项目使用资金比专项项目总预算减少0万元，</w:t>
      </w:r>
      <w:bookmarkStart w:id="18" w:name="_Hlk96097132"/>
      <w:r>
        <w:rPr>
          <w:rFonts w:hint="eastAsia" w:ascii="仿宋_GB2312" w:eastAsia="仿宋_GB2312" w:hAnsiTheme="minorHAnsi" w:cstheme="minorBidi"/>
          <w:sz w:val="28"/>
          <w:szCs w:val="36"/>
        </w:rPr>
        <w:t>项目节约率</w:t>
      </w:r>
      <w:bookmarkEnd w:id="18"/>
      <w:r>
        <w:rPr>
          <w:rFonts w:hint="eastAsia" w:ascii="仿宋_GB2312" w:eastAsia="仿宋_GB2312" w:hAnsiTheme="minorHAnsi" w:cstheme="minorBidi"/>
          <w:sz w:val="28"/>
          <w:szCs w:val="36"/>
        </w:rPr>
        <w:t>为0%</w:t>
      </w:r>
      <w:r>
        <w:rPr>
          <w:rFonts w:hint="eastAsia" w:ascii="仿宋_GB2312" w:eastAsia="仿宋_GB2312" w:hAnsiTheme="minorHAnsi" w:cstheme="minorBidi"/>
          <w:sz w:val="28"/>
          <w:szCs w:val="36"/>
          <w:lang w:eastAsia="zh-CN"/>
        </w:rPr>
        <w:t>。</w:t>
      </w:r>
    </w:p>
    <w:p>
      <w:pPr>
        <w:pStyle w:val="7"/>
        <w:pageBreakBefore w:val="0"/>
        <w:numPr>
          <w:numId w:val="0"/>
        </w:numPr>
        <w:kinsoku/>
        <w:wordWrap/>
        <w:overflowPunct/>
        <w:topLinePunct w:val="0"/>
        <w:autoSpaceDE/>
        <w:autoSpaceDN/>
        <w:bidi w:val="0"/>
        <w:adjustRightInd/>
        <w:spacing w:before="0" w:after="0" w:line="360" w:lineRule="auto"/>
        <w:ind w:leftChars="200"/>
        <w:jc w:val="left"/>
        <w:textAlignment w:val="auto"/>
        <w:rPr>
          <w:rStyle w:val="18"/>
          <w:rFonts w:hint="eastAsia" w:ascii="宋体" w:hAnsi="宋体" w:eastAsia="宋体" w:cs="宋体"/>
          <w:b/>
          <w:bCs/>
          <w:sz w:val="28"/>
          <w:szCs w:val="28"/>
        </w:rPr>
      </w:pPr>
      <w:r>
        <w:rPr>
          <w:rStyle w:val="18"/>
          <w:rFonts w:hint="eastAsia" w:ascii="宋体" w:hAnsi="宋体" w:cs="宋体"/>
          <w:b/>
          <w:bCs/>
          <w:sz w:val="28"/>
          <w:szCs w:val="28"/>
          <w:lang w:eastAsia="zh-CN"/>
        </w:rPr>
        <w:t>（</w:t>
      </w:r>
      <w:r>
        <w:rPr>
          <w:rStyle w:val="18"/>
          <w:rFonts w:hint="eastAsia" w:ascii="仿宋" w:hAnsi="仿宋" w:eastAsia="仿宋" w:cstheme="minorBidi"/>
          <w:b/>
          <w:bCs/>
          <w:lang w:val="en-US" w:eastAsia="zh-CN"/>
        </w:rPr>
        <w:t>五</w:t>
      </w:r>
      <w:r>
        <w:rPr>
          <w:rStyle w:val="18"/>
          <w:rFonts w:hint="eastAsia" w:ascii="仿宋" w:hAnsi="仿宋" w:eastAsia="仿宋" w:cstheme="minorBidi"/>
          <w:b/>
          <w:bCs/>
          <w:lang w:eastAsia="zh-CN"/>
        </w:rPr>
        <w:t>）</w:t>
      </w:r>
      <w:r>
        <w:rPr>
          <w:rStyle w:val="18"/>
          <w:rFonts w:hint="eastAsia" w:ascii="仿宋" w:hAnsi="仿宋" w:eastAsia="仿宋" w:cstheme="minorBidi"/>
          <w:b/>
          <w:bCs/>
        </w:rPr>
        <w:t>项目效率性分析</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1、实施进度</w:t>
      </w:r>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rPr>
        <w:t>2021年我单位共涉及专项项目</w:t>
      </w:r>
      <w:r>
        <w:rPr>
          <w:rFonts w:hint="eastAsia" w:ascii="仿宋_GB2312" w:eastAsia="仿宋_GB2312" w:hAnsiTheme="minorHAnsi" w:cstheme="minorBidi"/>
          <w:sz w:val="28"/>
          <w:szCs w:val="36"/>
          <w:lang w:val="en-US" w:eastAsia="zh-CN"/>
        </w:rPr>
        <w:t>7</w:t>
      </w:r>
      <w:r>
        <w:rPr>
          <w:rFonts w:hint="eastAsia" w:ascii="仿宋_GB2312" w:eastAsia="仿宋_GB2312" w:hAnsiTheme="minorHAnsi" w:cstheme="minorBidi"/>
          <w:sz w:val="28"/>
          <w:szCs w:val="36"/>
        </w:rPr>
        <w:t>个，截止到2021年底，通过专项项目实施过程中的有效监督，我单位按预期完成了</w:t>
      </w:r>
      <w:r>
        <w:rPr>
          <w:rFonts w:hint="eastAsia" w:ascii="仿宋_GB2312" w:eastAsia="仿宋_GB2312" w:hAnsiTheme="minorHAnsi" w:cstheme="minorBidi"/>
          <w:sz w:val="28"/>
          <w:szCs w:val="36"/>
          <w:lang w:val="en-US" w:eastAsia="zh-CN"/>
        </w:rPr>
        <w:t>7</w:t>
      </w:r>
      <w:r>
        <w:rPr>
          <w:rFonts w:hint="eastAsia" w:ascii="仿宋_GB2312" w:eastAsia="仿宋_GB2312" w:hAnsiTheme="minorHAnsi" w:cstheme="minorBidi"/>
          <w:sz w:val="28"/>
          <w:szCs w:val="36"/>
        </w:rPr>
        <w:t>个专项的各项专项任务，项目总体完成率为100%。</w:t>
      </w:r>
    </w:p>
    <w:p>
      <w:pPr>
        <w:spacing w:line="360" w:lineRule="auto"/>
        <w:ind w:firstLine="544" w:firstLineChars="200"/>
        <w:rPr>
          <w:rStyle w:val="18"/>
          <w:rFonts w:hint="eastAsia" w:ascii="仿宋_GB2312" w:hAnsi="楷体" w:eastAsia="仿宋_GB2312" w:cstheme="minorBidi"/>
          <w:b w:val="0"/>
          <w:spacing w:val="-4"/>
          <w:sz w:val="28"/>
          <w:szCs w:val="28"/>
        </w:rPr>
      </w:pPr>
      <w:r>
        <w:rPr>
          <w:rStyle w:val="18"/>
          <w:rFonts w:hint="eastAsia" w:ascii="仿宋_GB2312" w:hAnsi="楷体" w:eastAsia="仿宋_GB2312" w:cstheme="minorBidi"/>
          <w:b w:val="0"/>
          <w:spacing w:val="-4"/>
          <w:sz w:val="28"/>
          <w:szCs w:val="28"/>
        </w:rPr>
        <w:t>2、完成质量</w:t>
      </w:r>
    </w:p>
    <w:p>
      <w:pPr>
        <w:spacing w:line="360" w:lineRule="auto"/>
        <w:ind w:firstLine="560" w:firstLineChars="200"/>
        <w:rPr>
          <w:rFonts w:hint="eastAsia" w:ascii="仿宋_GB2312" w:eastAsia="仿宋_GB2312" w:hAnsiTheme="minorHAnsi" w:cstheme="minorBidi"/>
          <w:sz w:val="28"/>
          <w:szCs w:val="36"/>
        </w:rPr>
      </w:pPr>
      <w:bookmarkStart w:id="19" w:name="_Hlk96100380"/>
      <w:r>
        <w:rPr>
          <w:rFonts w:hint="eastAsia" w:ascii="仿宋_GB2312" w:eastAsia="仿宋_GB2312" w:hAnsiTheme="minorHAnsi" w:cstheme="minorBidi"/>
          <w:sz w:val="28"/>
          <w:szCs w:val="36"/>
          <w:lang w:val="en-US" w:eastAsia="zh-CN"/>
        </w:rPr>
        <w:t>7</w:t>
      </w:r>
      <w:r>
        <w:rPr>
          <w:rFonts w:hint="eastAsia" w:ascii="仿宋_GB2312" w:eastAsia="仿宋_GB2312" w:hAnsiTheme="minorHAnsi" w:cstheme="minorBidi"/>
          <w:sz w:val="28"/>
          <w:szCs w:val="36"/>
        </w:rPr>
        <w:t>个专项项目完成质量情况如下：</w:t>
      </w:r>
      <w:bookmarkEnd w:id="19"/>
    </w:p>
    <w:p>
      <w:pPr>
        <w:spacing w:line="360" w:lineRule="auto"/>
        <w:ind w:firstLine="560" w:firstLineChars="200"/>
        <w:rPr>
          <w:rFonts w:hint="eastAsia" w:ascii="仿宋_GB2312" w:eastAsia="仿宋_GB2312" w:hAnsiTheme="minorHAnsi" w:cstheme="minorBidi"/>
          <w:sz w:val="28"/>
          <w:szCs w:val="36"/>
        </w:rPr>
      </w:pP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1</w:t>
      </w: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法律咨询顾问费项目费用9万元，</w:t>
      </w:r>
      <w:r>
        <w:rPr>
          <w:rFonts w:hint="eastAsia" w:ascii="仿宋_GB2312" w:eastAsia="仿宋_GB2312" w:hAnsiTheme="minorHAnsi" w:cstheme="minorBidi"/>
          <w:sz w:val="28"/>
          <w:szCs w:val="36"/>
        </w:rPr>
        <w:t>完成</w:t>
      </w:r>
      <w:r>
        <w:rPr>
          <w:rFonts w:hint="eastAsia" w:ascii="仿宋_GB2312" w:eastAsia="仿宋_GB2312" w:hAnsiTheme="minorHAnsi" w:cstheme="minorBidi"/>
          <w:sz w:val="28"/>
          <w:szCs w:val="36"/>
          <w:lang w:eastAsia="zh-CN"/>
        </w:rPr>
        <w:t>特克斯县八卦名城旅游风景区管理委员会各项业务的法律咨询服务。</w:t>
      </w:r>
    </w:p>
    <w:p>
      <w:pPr>
        <w:spacing w:line="360" w:lineRule="auto"/>
        <w:ind w:firstLine="560" w:firstLineChars="200"/>
        <w:rPr>
          <w:rFonts w:hint="eastAsia" w:ascii="仿宋_GB2312" w:eastAsia="仿宋_GB2312" w:hAnsiTheme="minorHAnsi" w:cstheme="minorBidi"/>
          <w:sz w:val="28"/>
          <w:szCs w:val="36"/>
          <w:lang w:eastAsia="zh-CN"/>
        </w:rPr>
      </w:pP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2</w:t>
      </w: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一路红尘契税印花税金2.7万元，</w:t>
      </w:r>
      <w:r>
        <w:rPr>
          <w:rFonts w:hint="eastAsia" w:ascii="仿宋_GB2312" w:eastAsia="仿宋_GB2312" w:hAnsiTheme="minorHAnsi" w:cstheme="minorBidi"/>
          <w:sz w:val="28"/>
          <w:szCs w:val="36"/>
        </w:rPr>
        <w:t>完成</w:t>
      </w:r>
      <w:r>
        <w:rPr>
          <w:rFonts w:hint="eastAsia" w:ascii="仿宋_GB2312" w:eastAsia="仿宋_GB2312" w:hAnsiTheme="minorHAnsi" w:cstheme="minorBidi"/>
          <w:sz w:val="28"/>
          <w:szCs w:val="36"/>
          <w:lang w:eastAsia="zh-CN"/>
        </w:rPr>
        <w:t>对一路红尘影视剧的税金缴纳。</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3</w:t>
      </w: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乌孙夏都大门搬迁加固项目费用为9.8万元，完成乌孙夏都大门搬迁。</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（4）喀拉峻景区乌孙夏都服务中心建设项目资金27.1万元，用于完成喀拉峻乌孙夏都服务中心建设项目，推荐服务中心建设进度。（5）喀拉峻项目指挥部经费6万元，保证喀拉峻项目指挥部人员的运转经费。</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（6）喀拉峻景区基础设施建设（喀拉峻国际生态旅游区门票收入的60％）326.96万元，用于喀拉峻景区基础设施建设。</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（7）喀拉峻旅游风景区项目2019年财政投资评审项目咨询审核费0.35万元，用于景区项目投资评审费用。</w:t>
      </w:r>
    </w:p>
    <w:p>
      <w:pPr>
        <w:pStyle w:val="7"/>
        <w:numPr>
          <w:numId w:val="0"/>
        </w:numPr>
        <w:spacing w:line="360" w:lineRule="auto"/>
        <w:ind w:left="562" w:leftChars="0"/>
        <w:rPr>
          <w:rStyle w:val="18"/>
          <w:rFonts w:ascii="仿宋" w:hAnsi="仿宋" w:eastAsia="仿宋"/>
          <w:b/>
          <w:bCs/>
        </w:rPr>
      </w:pPr>
      <w:r>
        <w:rPr>
          <w:rStyle w:val="18"/>
          <w:rFonts w:hint="eastAsia" w:ascii="仿宋" w:hAnsi="仿宋" w:eastAsia="仿宋"/>
          <w:b/>
          <w:bCs/>
          <w:lang w:eastAsia="zh-CN"/>
        </w:rPr>
        <w:t>（</w:t>
      </w:r>
      <w:r>
        <w:rPr>
          <w:rStyle w:val="18"/>
          <w:rFonts w:hint="eastAsia" w:ascii="仿宋" w:hAnsi="仿宋" w:eastAsia="仿宋"/>
          <w:b/>
          <w:bCs/>
          <w:lang w:val="en-US" w:eastAsia="zh-CN"/>
        </w:rPr>
        <w:t>六</w:t>
      </w:r>
      <w:r>
        <w:rPr>
          <w:rStyle w:val="18"/>
          <w:rFonts w:hint="eastAsia" w:ascii="仿宋" w:hAnsi="仿宋" w:eastAsia="仿宋"/>
          <w:b/>
          <w:bCs/>
          <w:lang w:eastAsia="zh-CN"/>
        </w:rPr>
        <w:t>）</w:t>
      </w:r>
      <w:r>
        <w:rPr>
          <w:rStyle w:val="18"/>
          <w:rFonts w:hint="eastAsia" w:ascii="仿宋" w:hAnsi="仿宋" w:eastAsia="仿宋"/>
          <w:b/>
          <w:bCs/>
        </w:rPr>
        <w:t>项目效益性分析</w:t>
      </w:r>
    </w:p>
    <w:p>
      <w:pPr>
        <w:spacing w:line="360" w:lineRule="auto"/>
        <w:ind w:firstLine="560" w:firstLineChars="200"/>
        <w:rPr>
          <w:rFonts w:hint="eastAsia" w:ascii="仿宋_GB2312" w:eastAsia="仿宋_GB2312" w:hAnsiTheme="minorHAnsi" w:cstheme="minorBidi"/>
          <w:sz w:val="28"/>
          <w:szCs w:val="36"/>
          <w:lang w:eastAsia="zh-CN"/>
        </w:rPr>
      </w:pPr>
      <w:r>
        <w:rPr>
          <w:rFonts w:hint="eastAsia" w:ascii="仿宋_GB2312" w:eastAsia="仿宋_GB2312" w:hAnsiTheme="minorHAnsi" w:cstheme="minorBidi"/>
          <w:sz w:val="28"/>
          <w:szCs w:val="36"/>
          <w:lang w:val="en-US" w:eastAsia="zh-CN"/>
        </w:rPr>
        <w:t>7</w:t>
      </w:r>
      <w:r>
        <w:rPr>
          <w:rFonts w:hint="eastAsia" w:ascii="仿宋_GB2312" w:eastAsia="仿宋_GB2312" w:hAnsiTheme="minorHAnsi" w:cstheme="minorBidi"/>
          <w:sz w:val="28"/>
          <w:szCs w:val="36"/>
          <w:lang w:eastAsia="zh-CN"/>
        </w:rPr>
        <w:t>个专项项目预期目标完成程度、实施对经济和社会的影响如下</w:t>
      </w:r>
    </w:p>
    <w:p>
      <w:pPr>
        <w:spacing w:line="360" w:lineRule="auto"/>
        <w:ind w:firstLine="560" w:firstLineChars="200"/>
        <w:rPr>
          <w:rFonts w:hint="eastAsia" w:ascii="仿宋_GB2312" w:eastAsia="仿宋_GB2312" w:hAnsiTheme="minorHAnsi" w:cstheme="minorBidi"/>
          <w:sz w:val="28"/>
          <w:szCs w:val="36"/>
          <w:lang w:eastAsia="zh-CN"/>
        </w:rPr>
      </w:pPr>
      <w:bookmarkStart w:id="20" w:name="_Toc70450310"/>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1</w:t>
      </w: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法律咨询顾问费项目费用9万元，</w:t>
      </w:r>
      <w:r>
        <w:rPr>
          <w:rFonts w:hint="eastAsia" w:ascii="仿宋_GB2312" w:eastAsia="仿宋_GB2312" w:hAnsiTheme="minorHAnsi" w:cstheme="minorBidi"/>
          <w:sz w:val="28"/>
          <w:szCs w:val="36"/>
          <w:lang w:eastAsia="zh-CN"/>
        </w:rPr>
        <w:t>完成特克斯县八卦名城旅游风景区管理委员会各项业务的法律咨询服务，保证了单位各项经济业务依法开展。</w:t>
      </w:r>
    </w:p>
    <w:p>
      <w:pPr>
        <w:spacing w:line="360" w:lineRule="auto"/>
        <w:ind w:firstLine="560" w:firstLineChars="200"/>
        <w:rPr>
          <w:rFonts w:hint="eastAsia" w:ascii="仿宋_GB2312" w:eastAsia="仿宋_GB2312" w:hAnsiTheme="minorHAnsi" w:cstheme="minorBidi"/>
          <w:sz w:val="28"/>
          <w:szCs w:val="36"/>
          <w:lang w:eastAsia="zh-CN"/>
        </w:rPr>
      </w:pP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2</w:t>
      </w: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一路红尘契税印花税金2.7万元，</w:t>
      </w:r>
      <w:r>
        <w:rPr>
          <w:rFonts w:hint="eastAsia" w:ascii="仿宋_GB2312" w:eastAsia="仿宋_GB2312" w:hAnsiTheme="minorHAnsi" w:cstheme="minorBidi"/>
          <w:sz w:val="28"/>
          <w:szCs w:val="36"/>
          <w:lang w:eastAsia="zh-CN"/>
        </w:rPr>
        <w:t>完成对一路红尘影视剧的税金缴纳。</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3</w:t>
      </w:r>
      <w:r>
        <w:rPr>
          <w:rFonts w:hint="eastAsia" w:ascii="仿宋_GB2312" w:eastAsia="仿宋_GB2312" w:hAnsiTheme="minorHAnsi" w:cstheme="minorBidi"/>
          <w:sz w:val="28"/>
          <w:szCs w:val="36"/>
          <w:lang w:eastAsia="zh-CN"/>
        </w:rPr>
        <w:t>）</w:t>
      </w:r>
      <w:r>
        <w:rPr>
          <w:rFonts w:hint="eastAsia" w:ascii="仿宋_GB2312" w:eastAsia="仿宋_GB2312" w:hAnsiTheme="minorHAnsi" w:cstheme="minorBidi"/>
          <w:sz w:val="28"/>
          <w:szCs w:val="36"/>
          <w:lang w:val="en-US" w:eastAsia="zh-CN"/>
        </w:rPr>
        <w:t>乌孙夏都大门搬迁加固项目费用为9.8万元，完成乌孙夏都大门搬迁。乌孙夏都基础设施进一步夯实。</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（4）喀拉峻景区乌孙夏都服务中心建设项目资金27.1万元，用于完成喀拉峻乌孙夏都服务中心建设项目，推荐服务中心建设进度。</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（5）喀拉峻项目指挥部经费6万元，保证喀拉峻项目指挥部人员的运转经费，保证喀拉峻项目正常进行。</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（6）喀拉峻景区基础设施建设（喀拉峻国际生态旅游区门票收入的60％）326.96万元，用于喀拉峻景区基础设施建设。进一步夯实喀拉峻景区基础设施建设。</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（7）喀拉峻旅游风景区项目2019年财政投资评审项目咨询审核费0.35万元，用于景区项目投资评审费用，为景区项目可行性提供依据。</w:t>
      </w:r>
    </w:p>
    <w:p>
      <w:pPr>
        <w:pStyle w:val="5"/>
        <w:spacing w:line="360" w:lineRule="auto"/>
        <w:rPr>
          <w:rFonts w:hint="eastAsia" w:ascii="仿宋" w:hAnsi="仿宋" w:eastAsia="仿宋" w:cstheme="majorBidi"/>
          <w:sz w:val="36"/>
          <w:szCs w:val="36"/>
          <w:lang w:bidi="ar"/>
        </w:rPr>
      </w:pPr>
      <w:r>
        <w:rPr>
          <w:rFonts w:hint="eastAsia" w:ascii="仿宋" w:hAnsi="仿宋" w:eastAsia="仿宋" w:cstheme="majorBidi"/>
          <w:sz w:val="36"/>
          <w:szCs w:val="36"/>
          <w:lang w:bidi="ar"/>
        </w:rPr>
        <w:t>四、资产管理情况</w:t>
      </w:r>
      <w:bookmarkEnd w:id="20"/>
    </w:p>
    <w:p>
      <w:pPr>
        <w:pStyle w:val="6"/>
        <w:spacing w:line="360" w:lineRule="auto"/>
        <w:rPr>
          <w:rStyle w:val="18"/>
          <w:rFonts w:hint="eastAsia" w:ascii="仿宋" w:hAnsi="仿宋" w:eastAsia="仿宋" w:cstheme="minorBidi"/>
          <w:b/>
          <w:bCs/>
        </w:rPr>
      </w:pPr>
      <w:bookmarkStart w:id="21" w:name="_Toc70450311"/>
      <w:r>
        <w:rPr>
          <w:rStyle w:val="18"/>
          <w:rFonts w:hint="eastAsia" w:ascii="仿宋" w:hAnsi="仿宋" w:eastAsia="仿宋" w:cstheme="minorBidi"/>
          <w:b/>
          <w:bCs/>
        </w:rPr>
        <w:t>（一）资产配置情况</w:t>
      </w:r>
      <w:bookmarkEnd w:id="21"/>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2021年我单位资产总额591.25万元，其中固定资产净值297.46万元，（其中土地、房屋构筑物107.93万元，占固定资产净值36.28 %；通用设备13.39 万元，占固定资产净值4.5%，专用设备138.15 万元，占固定资产净值46.44 %；家具、用具、装具及动植物 37.99万元，占 固定资产净值12.79 %。</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本年度流动资产0 万元，比上年增加0 万元，原因是：无 。</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本年度固定资产591.25 万元，比上年增加1.10万元，原因是：固定资产调整为无形资产科目。</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实际在用固定资产591.25万元，固定资产利用率100%。</w:t>
      </w:r>
    </w:p>
    <w:p>
      <w:pPr>
        <w:pStyle w:val="6"/>
        <w:pageBreakBefore w:val="0"/>
        <w:kinsoku/>
        <w:wordWrap/>
        <w:overflowPunct/>
        <w:topLinePunct w:val="0"/>
        <w:autoSpaceDE/>
        <w:autoSpaceDN/>
        <w:bidi w:val="0"/>
        <w:adjustRightInd/>
        <w:spacing w:before="0" w:after="0" w:line="360" w:lineRule="auto"/>
        <w:ind w:left="0" w:leftChars="0" w:firstLine="562" w:firstLineChars="200"/>
        <w:jc w:val="left"/>
        <w:textAlignment w:val="auto"/>
        <w:rPr>
          <w:rStyle w:val="18"/>
          <w:rFonts w:hint="eastAsia" w:ascii="宋体" w:hAnsi="宋体" w:eastAsia="宋体" w:cs="宋体"/>
          <w:b/>
          <w:bCs/>
          <w:sz w:val="28"/>
          <w:szCs w:val="28"/>
        </w:rPr>
      </w:pPr>
      <w:bookmarkStart w:id="22" w:name="_Toc70450312"/>
      <w:r>
        <w:rPr>
          <w:rStyle w:val="18"/>
          <w:rFonts w:hint="eastAsia" w:ascii="宋体" w:hAnsi="宋体" w:eastAsia="宋体" w:cs="宋体"/>
          <w:b/>
          <w:bCs/>
          <w:sz w:val="28"/>
          <w:szCs w:val="28"/>
        </w:rPr>
        <w:t>（二）资产管理情况</w:t>
      </w:r>
      <w:bookmarkEnd w:id="22"/>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pacing w:line="360" w:lineRule="auto"/>
        <w:ind w:firstLine="560" w:firstLineChars="200"/>
        <w:rPr>
          <w:rFonts w:hint="eastAsia" w:ascii="仿宋_GB2312" w:eastAsia="仿宋_GB2312" w:hAnsiTheme="minorHAnsi" w:cstheme="minorBidi"/>
          <w:sz w:val="28"/>
          <w:szCs w:val="36"/>
          <w:lang w:val="en-US" w:eastAsia="zh-CN"/>
        </w:rPr>
      </w:pPr>
    </w:p>
    <w:p>
      <w:pPr>
        <w:pStyle w:val="5"/>
        <w:spacing w:line="360" w:lineRule="auto"/>
        <w:rPr>
          <w:rFonts w:hint="eastAsia" w:ascii="仿宋" w:hAnsi="仿宋" w:eastAsia="仿宋" w:cstheme="majorBidi"/>
          <w:sz w:val="36"/>
          <w:szCs w:val="36"/>
          <w:lang w:bidi="ar"/>
        </w:rPr>
      </w:pPr>
      <w:bookmarkStart w:id="23" w:name="_Toc70450313"/>
      <w:r>
        <w:rPr>
          <w:rFonts w:hint="eastAsia" w:ascii="仿宋" w:hAnsi="仿宋" w:eastAsia="仿宋" w:cstheme="majorBidi"/>
          <w:sz w:val="36"/>
          <w:szCs w:val="36"/>
          <w:lang w:bidi="ar"/>
        </w:rPr>
        <w:t>五、部门单位整体支出绩效情况</w:t>
      </w:r>
      <w:bookmarkEnd w:id="23"/>
    </w:p>
    <w:p>
      <w:pPr>
        <w:pStyle w:val="6"/>
        <w:spacing w:line="360" w:lineRule="auto"/>
        <w:ind w:firstLine="643" w:firstLineChars="200"/>
        <w:rPr>
          <w:rStyle w:val="18"/>
          <w:rFonts w:hint="eastAsia" w:ascii="仿宋" w:hAnsi="仿宋" w:eastAsia="仿宋" w:cstheme="minorBidi"/>
          <w:b/>
          <w:bCs/>
        </w:rPr>
      </w:pPr>
      <w:bookmarkStart w:id="24" w:name="_Toc70450314"/>
      <w:r>
        <w:rPr>
          <w:rStyle w:val="18"/>
          <w:rFonts w:hint="eastAsia" w:ascii="仿宋" w:hAnsi="仿宋" w:eastAsia="仿宋" w:cstheme="minorBidi"/>
          <w:b/>
          <w:bCs/>
        </w:rPr>
        <w:t>（一）经济效益评价</w:t>
      </w:r>
      <w:bookmarkEnd w:id="24"/>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2021年度我单位年初预算安排160.81万元，年中调整636.89 万元，截止12月底支出 797.70万元，执行率100%。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1、预算资金执行过程中均按照年初预算分配情况均做到专款专用，未出现资金侵、挪占情况。</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2、全年按照部门预算进行成本控制，全部控制在厉行节约指标数内。其他支出按财政部门下达的计划实施，全年没有项目超支。</w:t>
      </w:r>
    </w:p>
    <w:p>
      <w:pPr>
        <w:pStyle w:val="6"/>
        <w:spacing w:line="360" w:lineRule="auto"/>
        <w:ind w:firstLine="643" w:firstLineChars="200"/>
        <w:rPr>
          <w:rStyle w:val="18"/>
          <w:rFonts w:hint="eastAsia" w:ascii="仿宋" w:hAnsi="仿宋" w:eastAsia="仿宋" w:cstheme="minorBidi"/>
          <w:b/>
          <w:bCs/>
        </w:rPr>
      </w:pPr>
      <w:bookmarkStart w:id="25" w:name="_Toc70450315"/>
      <w:r>
        <w:rPr>
          <w:rStyle w:val="18"/>
          <w:rFonts w:hint="eastAsia" w:ascii="仿宋" w:hAnsi="仿宋" w:eastAsia="仿宋" w:cstheme="minorBidi"/>
          <w:b/>
          <w:bCs/>
        </w:rPr>
        <w:t>（二）效率性评价</w:t>
      </w:r>
      <w:bookmarkEnd w:id="25"/>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2021年，在县委、政府的大力支持和我单位党组的正确领导下，我单位迎难而上、务实重干，积极推动各项景区管理工作取得了新的进展，为促进经济持续健康发展与社会和谐稳定提供了有力的旅游支撑和保障。</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1、突出规范标准，体制机制建设进一步完善。一是结合此次州党委第四巡察组反馈问题，根据整改情况建立健全并完善相关制度。修订了《八卦城景区管委会党组工作规则》《八卦城景区管委会党组“三重一大”决策实施办法》等。强化景区各投资企业和各类业态运营考核管理机制，管委会管人、管事、管财、管物的制度机制进一步形成，治理机制与治理能力现代化水平进一步提升。二是坚持贯彻民主集中制。按照党组工作规则要求，严格执行领导班子分工负责、工作协调制度和领导班子讨论重大事项“一把手”末位表态制度，强化“三重一大”议事决策制度。截至目前，共召开党组会15次，研究18余个重大事项，确保权力在阳光下运行。三是体制机制进一步优化。为进一步理顺喀拉峻景区管理体制机制，增强发展活力，强化规划引领和有序开发建设，统筹提升管理水平，扩大有效投资，完善优化基础设施和产品业态，提高服务质量，做大做强景区品牌，我委积极与上级部门对接加快机构改革步伐，经各方推动，现已成立喀拉峻景区体制机制改革领导小组。</w:t>
      </w:r>
    </w:p>
    <w:p>
      <w:pPr>
        <w:spacing w:line="360" w:lineRule="auto"/>
        <w:ind w:firstLine="560" w:firstLineChars="200"/>
        <w:rPr>
          <w:rFonts w:hint="eastAsia" w:ascii="仿宋_GB2312" w:eastAsia="仿宋_GB2312" w:hAnsiTheme="minorHAnsi" w:cstheme="minorBidi"/>
          <w:sz w:val="28"/>
          <w:szCs w:val="36"/>
          <w:lang w:val="en-US" w:eastAsia="zh-CN"/>
        </w:rPr>
      </w:pP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突出精准聚焦，严格落实各项稳定措施。一是全面落实安全生产责任制，与旅游景区（点）、农（牧）家乐签定了《特克斯县旅游行业2021年安全生产责任书》6份，与单位所有工作人员签订了《个人安全生产责任书》32份。二是开展常规性安全生产检查工作。自年初以来共开展安全检查54次，其中联合安委会、消防、市场管理局、公安、疫情防控、住建局、交通等部门对喀拉峻景区、易经文化园进行了全面安全大检查4次，针对存在的安全隐患，下发责令限期整改通知书，现已全部整改到位。三是2021年我委以“防灾减灾”活动为契机，认真抓好旅游防灾减灾安全宣传工作，切实确保旅游安全意识深入人心。自年初以来，开展了防灾减灾防护培训4次，撰写防灾减灾简报2份，制作横幅6条，</w:t>
      </w:r>
    </w:p>
    <w:p>
      <w:pPr>
        <w:spacing w:line="360" w:lineRule="auto"/>
        <w:ind w:firstLine="560" w:firstLineChars="200"/>
        <w:rPr>
          <w:rFonts w:hint="eastAsia" w:ascii="仿宋_GB2312" w:eastAsia="仿宋_GB2312" w:hAnsiTheme="minorHAnsi" w:cstheme="minorBidi"/>
          <w:sz w:val="28"/>
          <w:szCs w:val="36"/>
          <w:lang w:val="en-US" w:eastAsia="zh-CN"/>
        </w:rPr>
      </w:pP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3、突出行业优势，为乡村振兴工作添砖加瓦。一是扎实开展“民族团结一家亲”活动，积极与政法委对接，为2名学员提供就业岗位。二是对牧民经营摊点进行规范建设，将原来的手推移动式货架摊点变为与景区整体风貌相统一的小木屋经营点。现已建成小木屋经营点15个，带动喀拉达拉镇、阔克苏乡共计15户农牧民增收致富。三是景区以合作社经营方式对马队进行统一管理，联合县农广校对景区马队从业人员进行统一培训，共计培训250人次。目前，景区拥有3支马队，共计215匹马匹，带动就业250余人，实现人均年收入2.5万元以上。</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4、项目建设稳步推进，配套设施不断完善。今年作为旅游基础服务设施建设大发展的一年，也是喀拉峻景区服务质量提升的关键之年，为确保“十四五”顺利开局，我们整合业务部门力量，成立喀拉峻景区项目工作指挥部，多方筹措资金5.12亿元，其中喀拉峻公司投资3.1亿元（专债资金一期投入1.7亿元；二期1亿元；中央预算内项目资金0.32亿元，地方财政配套资金0.08亿元），专项债券资金1.2亿元，景区交通道路投资5000万元，中央预算内资金3200万元。一是喀拉峻5A级景区基础设施提升改造建设项目成果显著，取得好成绩。截止目前，景区项目已完工29个，包括喀拉峻B线、C线生态道路，15.2公里砂石自驾线路，景区沿途彩绘，骆驼驿站加固及运营，马场三连办公室改造，景区电力敷设，上索道站区域木栈道、观景平台建设项目，人体草原灌溉设施等。二是中央预算内建设项目特克斯县喀拉峻景区基础设施建设项目快速推进。可行性研究报告、项目建设前期预审批复、项目具体建设内容均已同步办理完成。力争2022年完成停车场、停靠站等基础设施建设。三是喀拉峻公司投资3.1亿项目蓝图铺展，书写现代化新篇章。重点建设众神牧场综合体验运动休闲服务区、智慧景区提升、喀拉峻基础设施、加大营销宣传等，计划投资3.1亿元，截至目前，已累计完成投资1.1亿元，修缮景区内部分基础设施，新建飞拉达攀岩、码头、索道、智能无人机VR空中景区、玻璃观景平台、缅甸桥、热气球，购置15辆观光车、2辆物业车、5辆工具车、3艘船舶、5座木屋等项目。</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5、广泛宣传，多渠道做好营销工作。采取线上与线下同时宣传营销的方式，累计投入近600余万元。一是维护旅行社营销合作渠道。在山东、江苏、浙江、上海、安徽等五省西北旅游线路批发商开展深度合作，推出5条含喀拉峻景区的旅游线路产品，已召开线下产品推介会11场，累计2128人参会， 举办15场大型推介会，总到会人数超过2500人；开展微信大讲堂120场，进行线路产品的推；二是通过与疆内5A级景区那拉提、天池景区、国内梨花溪景区、汤山温泉旅游度假区等景区合作共建，互通信息和资源，借助彼此的宣传渠道互推景区；三是积极配合“华运集团喀拉峻旅游专列、“西美集团万人游喀拉峻旅游首发团”、“江苏广播新疆丝路之旅首发团”等团队接待工作；四是推出“中国旅游日”、“世界自然遗产日”免门票优惠活动，“古尔邦节”、“喀拉峻金秋特惠”、教师节、丰收节、中秋节、国庆节及摄影、达人游等系列优惠活动。五是与OTA旅游电商合作，大力开展网络营销，提供和开放广告位重点宣传喀拉峻，取得了很好的效果。</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6、突出特色亮点，各项工作取得突破性进展。一是投资0.4亿元的地标型建筑易经文化教育研学基地-太极坛展览馆未开先火，成为“新晋网红打卡点”。太极坛展览馆作为特克斯县人文、历史以及城市建设发展的一个缩影和历史见证，自升级改造营业后，新颖的旅游体验，独特的文化调性，获得游客的一致好评，特别是“古尔邦节”节假日期间，日接待量突破1万人次。二是标准化创建工作稳步推进，顺利通过现场评审。按照《服务业标准化试点实施细则》相关要求，喀拉峻国际生态旅游区以“创造一流服务环境、持续提升喀拉峻景区品牌”为目标，在引用国家标准、行业标准、地方标准的基础上，因地制宜，联系实际，逐步建立了以服务通用基础标准体系为基础，以服务保障标准体系和服务提供标准体系为补充、配套科学完善的服务业标准体系，全面提升喀拉峻景区旅游服务水平和管理水平，喀拉峻国际生态旅游区国家级服务业标准化试点建设工作于今年6月顺利通过自治区标准化验收专家组现场评审。三是民族团结进步创建工作成果斐然。我委将民族团结创建工作纳入中心工作，提上重要议事日程，组织召开民族团结进步创建工作动员会议，调整民族团结进步创建工作领导小组，召开专题会议，紧扣“中华民族一家亲，同心共筑中国梦”总目标，以“民族团结一家亲”活动为载体，广泛凝聚人心，深化创建内涵，丰富创建形式，提升创建效能。太极坛于2021年8月成功命名为伊犁州第二批民族团结进步教育基地，取得了优异成绩。四是景区服务质量全面提升，构建高质量服务体系。为进一步提升服务标准和水平，完善景区内导览系统，设置红十字会救护站，集中整治马队服务质量、增加服务人数、完善车辆运行方案，加大环境整治力度，合理规划景区交通路线，增设观光车辆。一年来，开展游客满意度调查，收集各类意见和建议2000多份，游客满意率达98%。五是积极开展联合执法大检查。结合文旅行业实际，成立景区专业指导检查组，常态化开展联合督导检查，对景区服务质量、环境卫生、消防安全、食品安全生产开展指导检查，截止目前，出动车辆80余次、排查安全隐患50条，立查立改40条、限期整改10条，对检查中发现的隐患问题，进行现场指导，提出方法和改进措施，确保景区有序运营。</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7、景区管理工作全面达标，群众满意度高。</w:t>
      </w:r>
    </w:p>
    <w:p>
      <w:pPr>
        <w:pStyle w:val="6"/>
        <w:pageBreakBefore w:val="0"/>
        <w:kinsoku/>
        <w:wordWrap/>
        <w:overflowPunct/>
        <w:topLinePunct w:val="0"/>
        <w:autoSpaceDE/>
        <w:autoSpaceDN/>
        <w:bidi w:val="0"/>
        <w:adjustRightInd/>
        <w:spacing w:before="0" w:after="0" w:line="360" w:lineRule="auto"/>
        <w:ind w:left="0" w:leftChars="0" w:firstLine="562" w:firstLineChars="200"/>
        <w:jc w:val="left"/>
        <w:textAlignment w:val="auto"/>
        <w:rPr>
          <w:rStyle w:val="18"/>
          <w:rFonts w:hint="eastAsia" w:ascii="宋体" w:hAnsi="宋体" w:eastAsia="宋体" w:cs="宋体"/>
          <w:b/>
          <w:bCs/>
          <w:sz w:val="28"/>
          <w:szCs w:val="28"/>
        </w:rPr>
      </w:pPr>
      <w:bookmarkStart w:id="26" w:name="_Toc70450316"/>
      <w:r>
        <w:rPr>
          <w:rStyle w:val="18"/>
          <w:rFonts w:hint="eastAsia" w:ascii="宋体" w:hAnsi="宋体" w:eastAsia="宋体" w:cs="宋体"/>
          <w:b/>
          <w:bCs/>
          <w:sz w:val="28"/>
          <w:szCs w:val="28"/>
        </w:rPr>
        <w:t>（三）有效性评价</w:t>
      </w:r>
      <w:bookmarkEnd w:id="26"/>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2021年部门支出的有效性主要体现在我单位各项工作成效上，一是景区基本建设进一步夯实，二是景区管理能力进一步提升，三是旅游环境进一步改善，详细情况如下：</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我单位整体绩效目标共设置一级指标3 个，二级指标7个，三级指标16个，详细说明如下</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1、数量指标：</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指标1：保障在职人员人数，指标值&gt;=16人，实际完成值16人，指标完成率100%；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指标2：保障公用车数量，指标值&gt;=1辆，实际完成值1辆，指标完成率100%；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指标3：各景点巡查检查，指标值&gt;=20次，实际完成值20次，指标完成率100%；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2、质量指标：</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指标1：人员工资及公用经费保障率 ，指标值＞=94﹪，实际完成值100%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指标2：巡查、检查覆盖率 ，指标值＞=98%，实际完成值98%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3、时效指标：</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指标1：工资发放及时率 ，指标值＞=95﹪ ，实际完成值95%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指标2：年度工作任务按时完成率 ，指标值100%，实际完成值100%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4、成本指标：</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指标1；保障人员人均支出标准，指标值&lt;=9.7万元，实际完成值9.7万元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指标2：人均运转经费 ，指标值：&lt;=0.3万元 ，实际完成值：0.3万元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指标3：公用车保障费 ，指标值&lt;=0.8万元 ，实际完成值0.8万元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5、社会效益指标：</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指标1： 促进周边居民就业，指标值有效促进，实际完成值显著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6、生态效益指标：</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指标1：改善景区环境 ，指标值有效改善 ，实际完成值显著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7、满意度指标：</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指标1： 游客满意度 ，指标值＞=95﹪，实际完成值 95% ，指标完成率100%；</w:t>
      </w:r>
    </w:p>
    <w:p>
      <w:pPr>
        <w:spacing w:line="360" w:lineRule="auto"/>
        <w:ind w:firstLine="560" w:firstLineChars="200"/>
        <w:rPr>
          <w:rFonts w:hint="eastAsia" w:ascii="仿宋_GB2312" w:eastAsia="仿宋_GB2312" w:hAnsiTheme="minorHAnsi" w:cstheme="minorBidi"/>
          <w:sz w:val="28"/>
          <w:szCs w:val="36"/>
          <w:lang w:val="en-US" w:eastAsia="zh-CN"/>
        </w:rPr>
      </w:pPr>
      <w:r>
        <w:rPr>
          <w:rFonts w:hint="eastAsia" w:ascii="仿宋_GB2312" w:eastAsia="仿宋_GB2312" w:hAnsiTheme="minorHAnsi" w:cstheme="minorBidi"/>
          <w:sz w:val="28"/>
          <w:szCs w:val="36"/>
          <w:lang w:val="en-US" w:eastAsia="zh-CN"/>
        </w:rPr>
        <w:t>指标2：职工满意度，</w:t>
      </w:r>
      <w:bookmarkStart w:id="27" w:name="_Toc70450317"/>
      <w:r>
        <w:rPr>
          <w:rFonts w:hint="eastAsia" w:ascii="仿宋_GB2312" w:eastAsia="仿宋_GB2312" w:hAnsiTheme="minorHAnsi" w:cstheme="minorBidi"/>
          <w:sz w:val="28"/>
          <w:szCs w:val="36"/>
          <w:lang w:val="en-US" w:eastAsia="zh-CN"/>
        </w:rPr>
        <w:t>指标值＞=95﹪ ，实际完成值 95% ，指标完成率100%。</w:t>
      </w:r>
    </w:p>
    <w:p>
      <w:pPr>
        <w:pStyle w:val="5"/>
        <w:spacing w:line="360" w:lineRule="auto"/>
        <w:rPr>
          <w:rFonts w:hint="eastAsia" w:ascii="仿宋" w:hAnsi="仿宋" w:eastAsia="仿宋" w:cstheme="majorBidi"/>
          <w:sz w:val="36"/>
          <w:szCs w:val="36"/>
          <w:lang w:bidi="ar"/>
        </w:rPr>
      </w:pPr>
      <w:r>
        <w:rPr>
          <w:rFonts w:hint="eastAsia" w:ascii="仿宋" w:hAnsi="仿宋" w:eastAsia="仿宋" w:cstheme="majorBidi"/>
          <w:sz w:val="36"/>
          <w:szCs w:val="36"/>
          <w:lang w:bidi="ar"/>
        </w:rPr>
        <w:t>六、存在的主要问题</w:t>
      </w:r>
      <w:bookmarkEnd w:id="27"/>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bookmarkStart w:id="28" w:name="_Toc70450321"/>
      <w:r>
        <w:rPr>
          <w:rFonts w:hint="eastAsia" w:ascii="仿宋_GB2312" w:eastAsia="仿宋_GB2312" w:hAnsiTheme="minorHAnsi" w:cstheme="minorBidi"/>
          <w:kern w:val="2"/>
          <w:sz w:val="28"/>
          <w:szCs w:val="36"/>
          <w:lang w:val="en-US" w:eastAsia="zh-CN" w:bidi="ar-SA"/>
        </w:rPr>
        <w:t>(一)预算执行存在偏差</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1"/>
        <w:pageBreakBefore w:val="0"/>
        <w:numPr>
          <w:ilvl w:val="0"/>
          <w:numId w:val="2"/>
        </w:numPr>
        <w:kinsoku/>
        <w:wordWrap/>
        <w:overflowPunct/>
        <w:topLinePunct w:val="0"/>
        <w:autoSpaceDE/>
        <w:autoSpaceDN/>
        <w:bidi w:val="0"/>
        <w:adjustRightInd/>
        <w:spacing w:line="360" w:lineRule="auto"/>
        <w:ind w:left="0" w:leftChars="0" w:firstLine="560" w:firstLineChars="200"/>
        <w:jc w:val="left"/>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项目细化管理工作不足。</w:t>
      </w:r>
    </w:p>
    <w:p>
      <w:pPr>
        <w:pStyle w:val="31"/>
        <w:pageBreakBefore w:val="0"/>
        <w:kinsoku/>
        <w:wordWrap/>
        <w:overflowPunct/>
        <w:topLinePunct w:val="0"/>
        <w:autoSpaceDE/>
        <w:autoSpaceDN/>
        <w:bidi w:val="0"/>
        <w:adjustRightInd/>
        <w:spacing w:line="360" w:lineRule="auto"/>
        <w:ind w:left="0" w:leftChars="0" w:firstLine="560" w:firstLineChars="200"/>
        <w:jc w:val="left"/>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（四）固定资产管理水平有待提高</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固定资产台账未及时与账面资产金额对账且末与实物进行清点及及时清理处置报废资产导致资产台账与账面资产金额存在差异,固定资产管理继续加强中。</w:t>
      </w:r>
    </w:p>
    <w:p>
      <w:pPr>
        <w:pStyle w:val="5"/>
        <w:spacing w:line="360" w:lineRule="auto"/>
        <w:rPr>
          <w:rFonts w:hint="eastAsia" w:ascii="仿宋" w:hAnsi="仿宋" w:eastAsia="仿宋" w:cstheme="majorBidi"/>
          <w:sz w:val="36"/>
          <w:szCs w:val="36"/>
          <w:lang w:bidi="ar"/>
        </w:rPr>
      </w:pPr>
      <w:bookmarkStart w:id="29" w:name="_Toc19570"/>
      <w:bookmarkStart w:id="30" w:name="_Toc70450318"/>
      <w:r>
        <w:rPr>
          <w:rFonts w:hint="eastAsia" w:ascii="仿宋" w:hAnsi="仿宋" w:eastAsia="仿宋" w:cstheme="majorBidi"/>
          <w:sz w:val="36"/>
          <w:szCs w:val="36"/>
          <w:lang w:bidi="ar"/>
        </w:rPr>
        <w:t>七、改进措施和建议</w:t>
      </w:r>
      <w:bookmarkEnd w:id="29"/>
      <w:bookmarkEnd w:id="30"/>
    </w:p>
    <w:p>
      <w:pPr>
        <w:pStyle w:val="6"/>
        <w:spacing w:line="360" w:lineRule="auto"/>
        <w:rPr>
          <w:rStyle w:val="18"/>
          <w:rFonts w:hint="eastAsia" w:ascii="仿宋" w:hAnsi="仿宋" w:eastAsia="仿宋" w:cstheme="minorBidi"/>
          <w:b/>
          <w:bCs/>
        </w:rPr>
      </w:pPr>
      <w:bookmarkStart w:id="31" w:name="_Toc70450319"/>
      <w:bookmarkStart w:id="32" w:name="_Toc1970"/>
      <w:r>
        <w:rPr>
          <w:rStyle w:val="18"/>
          <w:rFonts w:hint="eastAsia" w:ascii="仿宋" w:hAnsi="仿宋" w:eastAsia="仿宋" w:cstheme="minorBidi"/>
          <w:b/>
          <w:bCs/>
        </w:rPr>
        <w:t>（一）改进措施</w:t>
      </w:r>
      <w:bookmarkEnd w:id="31"/>
      <w:bookmarkEnd w:id="32"/>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（三）加强学习。进一步明确如何参照考核体系，科学合理设定绩效目标，充分发挥预算绩效管理工作效用。</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（四）财务上，会计核算要更加详细，为本单位各项工作的开展、总结、评估提供有效数据资料支撑,为各项业务工作更好的开展提供帮助。</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（五）从源头上强化对专项资金预算管理。实行专项资金预算管理，结合单位实际, 按轻重缓急统筹安排编制预算,提高预算编制科学性和合理性,优化资金结构。</w:t>
      </w:r>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（六）按时间进度分解资金使用计划。专项资金的使用，要事前做计划，事中进行控制，事后总结提高。合理安排资金使用,充分体现资金投向的目标和效益。</w:t>
      </w:r>
    </w:p>
    <w:p>
      <w:pPr>
        <w:pStyle w:val="6"/>
        <w:spacing w:line="360" w:lineRule="auto"/>
        <w:rPr>
          <w:rStyle w:val="18"/>
          <w:rFonts w:hint="eastAsia" w:ascii="仿宋" w:hAnsi="仿宋" w:eastAsia="仿宋" w:cstheme="minorBidi"/>
          <w:b/>
          <w:bCs/>
        </w:rPr>
      </w:pPr>
      <w:bookmarkStart w:id="33" w:name="_Toc15324"/>
      <w:bookmarkStart w:id="34" w:name="_Toc70450320"/>
      <w:r>
        <w:rPr>
          <w:rStyle w:val="18"/>
          <w:rFonts w:hint="eastAsia" w:ascii="仿宋" w:hAnsi="仿宋" w:eastAsia="仿宋" w:cstheme="minorBidi"/>
          <w:b/>
          <w:bCs/>
        </w:rPr>
        <w:t>（二）建议</w:t>
      </w:r>
      <w:bookmarkEnd w:id="33"/>
      <w:bookmarkEnd w:id="34"/>
    </w:p>
    <w:p>
      <w:pPr>
        <w:pStyle w:val="14"/>
        <w:pageBreakBefore w:val="0"/>
        <w:widowControl/>
        <w:kinsoku/>
        <w:wordWrap/>
        <w:overflowPunct/>
        <w:topLinePunct w:val="0"/>
        <w:autoSpaceDE/>
        <w:autoSpaceDN/>
        <w:bidi w:val="0"/>
        <w:adjustRightInd/>
        <w:spacing w:before="0" w:beforeAutospacing="0" w:after="0" w:afterAutospacing="0" w:line="360" w:lineRule="auto"/>
        <w:ind w:left="0" w:leftChars="0" w:firstLine="560" w:firstLineChars="200"/>
        <w:textAlignment w:val="auto"/>
        <w:rPr>
          <w:rFonts w:hint="eastAsia" w:ascii="仿宋_GB2312" w:eastAsia="仿宋_GB2312" w:hAnsiTheme="minorHAnsi" w:cstheme="minorBidi"/>
          <w:kern w:val="2"/>
          <w:sz w:val="28"/>
          <w:szCs w:val="36"/>
          <w:lang w:val="en-US" w:eastAsia="zh-CN" w:bidi="ar-SA"/>
        </w:rPr>
      </w:pPr>
      <w:r>
        <w:rPr>
          <w:rFonts w:hint="eastAsia" w:ascii="仿宋_GB2312" w:eastAsia="仿宋_GB2312" w:hAnsiTheme="minorHAnsi" w:cstheme="minorBidi"/>
          <w:kern w:val="2"/>
          <w:sz w:val="28"/>
          <w:szCs w:val="36"/>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5"/>
        <w:spacing w:line="360" w:lineRule="auto"/>
        <w:rPr>
          <w:rFonts w:hint="eastAsia" w:ascii="仿宋" w:hAnsi="仿宋" w:eastAsia="仿宋" w:cstheme="majorBidi"/>
          <w:sz w:val="36"/>
          <w:szCs w:val="36"/>
          <w:lang w:bidi="ar"/>
        </w:rPr>
      </w:pPr>
      <w:r>
        <w:rPr>
          <w:rFonts w:hint="eastAsia" w:ascii="仿宋" w:hAnsi="仿宋" w:eastAsia="仿宋" w:cstheme="majorBidi"/>
          <w:sz w:val="36"/>
          <w:szCs w:val="36"/>
          <w:lang w:bidi="ar"/>
        </w:rPr>
        <w:t>八、附表：</w:t>
      </w:r>
      <w:bookmarkStart w:id="35" w:name="_Hlk70450148"/>
      <w:r>
        <w:rPr>
          <w:rFonts w:hint="eastAsia" w:ascii="仿宋" w:hAnsi="仿宋" w:eastAsia="仿宋" w:cstheme="majorBidi"/>
          <w:sz w:val="36"/>
          <w:szCs w:val="36"/>
          <w:lang w:bidi="ar"/>
        </w:rPr>
        <w:t>《部门整体支出绩效目标自评表》</w:t>
      </w:r>
      <w:bookmarkEnd w:id="28"/>
      <w:bookmarkEnd w:id="35"/>
    </w:p>
    <w:tbl>
      <w:tblPr>
        <w:tblStyle w:val="16"/>
        <w:tblW w:w="8820" w:type="dxa"/>
        <w:tblInd w:w="-201" w:type="dxa"/>
        <w:tblLayout w:type="fixed"/>
        <w:tblCellMar>
          <w:top w:w="0" w:type="dxa"/>
          <w:left w:w="108" w:type="dxa"/>
          <w:bottom w:w="0" w:type="dxa"/>
          <w:right w:w="108" w:type="dxa"/>
        </w:tblCellMar>
      </w:tblPr>
      <w:tblGrid>
        <w:gridCol w:w="810"/>
        <w:gridCol w:w="1176"/>
        <w:gridCol w:w="240"/>
        <w:gridCol w:w="1449"/>
        <w:gridCol w:w="900"/>
        <w:gridCol w:w="885"/>
        <w:gridCol w:w="810"/>
        <w:gridCol w:w="825"/>
        <w:gridCol w:w="840"/>
        <w:gridCol w:w="885"/>
      </w:tblGrid>
      <w:tr>
        <w:trPr>
          <w:trHeight w:val="405" w:hRule="atLeast"/>
        </w:trPr>
        <w:tc>
          <w:tcPr>
            <w:tcW w:w="8820" w:type="dxa"/>
            <w:gridSpan w:val="10"/>
            <w:tcBorders>
              <w:top w:val="nil"/>
              <w:left w:val="nil"/>
              <w:bottom w:val="nil"/>
              <w:right w:val="nil"/>
            </w:tcBorders>
            <w:vAlign w:val="center"/>
          </w:tcPr>
          <w:p>
            <w:pPr>
              <w:pageBreakBefore w:val="0"/>
              <w:widowControl/>
              <w:kinsoku/>
              <w:wordWrap/>
              <w:overflowPunct/>
              <w:topLinePunct w:val="0"/>
              <w:autoSpaceDE/>
              <w:autoSpaceDN/>
              <w:bidi w:val="0"/>
              <w:adjustRightInd/>
              <w:spacing w:line="360" w:lineRule="auto"/>
              <w:ind w:left="0" w:leftChars="0" w:firstLine="562" w:firstLineChars="200"/>
              <w:jc w:val="center"/>
              <w:textAlignment w:val="auto"/>
              <w:rPr>
                <w:rFonts w:hint="eastAsia" w:ascii="宋体" w:hAnsi="宋体" w:eastAsia="宋体" w:cs="宋体"/>
                <w:b/>
                <w:bCs/>
                <w:kern w:val="0"/>
                <w:sz w:val="28"/>
                <w:szCs w:val="28"/>
              </w:rPr>
            </w:pPr>
          </w:p>
          <w:p>
            <w:pPr>
              <w:pageBreakBefore w:val="0"/>
              <w:widowControl/>
              <w:kinsoku/>
              <w:wordWrap/>
              <w:overflowPunct/>
              <w:topLinePunct w:val="0"/>
              <w:autoSpaceDE/>
              <w:autoSpaceDN/>
              <w:bidi w:val="0"/>
              <w:adjustRightInd/>
              <w:spacing w:line="360" w:lineRule="auto"/>
              <w:ind w:left="0" w:leftChars="0" w:firstLine="560" w:firstLineChars="200"/>
              <w:jc w:val="center"/>
              <w:textAlignment w:val="auto"/>
              <w:rPr>
                <w:rFonts w:hint="eastAsia" w:ascii="宋体" w:hAnsi="宋体" w:eastAsia="宋体" w:cs="宋体"/>
                <w:kern w:val="0"/>
                <w:sz w:val="28"/>
                <w:szCs w:val="28"/>
              </w:rPr>
            </w:pPr>
            <w:r>
              <w:rPr>
                <w:rFonts w:hint="eastAsia" w:ascii="宋体" w:hAnsi="宋体" w:eastAsia="宋体" w:cs="宋体"/>
                <w:kern w:val="0"/>
                <w:sz w:val="28"/>
                <w:szCs w:val="28"/>
              </w:rPr>
              <w:t>部门整体支出绩效目标自评表</w:t>
            </w:r>
          </w:p>
        </w:tc>
      </w:tr>
      <w:tr>
        <w:tblPrEx>
          <w:tblCellMar>
            <w:top w:w="0" w:type="dxa"/>
            <w:left w:w="108" w:type="dxa"/>
            <w:bottom w:w="0" w:type="dxa"/>
            <w:right w:w="108" w:type="dxa"/>
          </w:tblCellMar>
        </w:tblPrEx>
        <w:trPr>
          <w:trHeight w:val="285" w:hRule="atLeast"/>
        </w:trPr>
        <w:tc>
          <w:tcPr>
            <w:tcW w:w="8820" w:type="dxa"/>
            <w:gridSpan w:val="10"/>
            <w:tcBorders>
              <w:top w:val="nil"/>
              <w:left w:val="nil"/>
              <w:bottom w:val="nil"/>
              <w:right w:val="nil"/>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center"/>
              <w:textAlignment w:val="auto"/>
              <w:rPr>
                <w:rFonts w:hint="eastAsia" w:ascii="宋体" w:hAnsi="宋体" w:eastAsia="宋体" w:cs="宋体"/>
                <w:kern w:val="0"/>
                <w:sz w:val="28"/>
                <w:szCs w:val="28"/>
              </w:rPr>
            </w:pPr>
            <w:r>
              <w:rPr>
                <w:rFonts w:hint="eastAsia" w:ascii="宋体" w:hAnsi="宋体" w:eastAsia="宋体" w:cs="宋体"/>
                <w:kern w:val="0"/>
                <w:sz w:val="28"/>
                <w:szCs w:val="28"/>
              </w:rPr>
              <w:t>（</w:t>
            </w:r>
            <w:r>
              <w:rPr>
                <w:rFonts w:hint="default" w:ascii="宋体" w:hAnsi="宋体" w:cs="宋体"/>
                <w:kern w:val="0"/>
                <w:sz w:val="28"/>
                <w:szCs w:val="28"/>
                <w:lang w:val="en-US"/>
              </w:rPr>
              <w:t>2021</w:t>
            </w:r>
            <w:r>
              <w:rPr>
                <w:rFonts w:hint="eastAsia" w:ascii="宋体" w:hAnsi="宋体" w:eastAsia="宋体" w:cs="宋体"/>
                <w:kern w:val="0"/>
                <w:sz w:val="28"/>
                <w:szCs w:val="28"/>
              </w:rPr>
              <w:t>年度）</w:t>
            </w:r>
          </w:p>
        </w:tc>
      </w:tr>
      <w:tr>
        <w:trPr>
          <w:trHeight w:val="285" w:hRule="atLeast"/>
        </w:trPr>
        <w:tc>
          <w:tcPr>
            <w:tcW w:w="2226" w:type="dxa"/>
            <w:gridSpan w:val="3"/>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部门名称</w:t>
            </w:r>
          </w:p>
        </w:tc>
        <w:tc>
          <w:tcPr>
            <w:tcW w:w="6594" w:type="dxa"/>
            <w:gridSpan w:val="7"/>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　特克斯县八卦名城旅游风景区管理委员会</w:t>
            </w:r>
          </w:p>
        </w:tc>
      </w:tr>
      <w:tr>
        <w:tblPrEx>
          <w:tblCellMar>
            <w:top w:w="0" w:type="dxa"/>
            <w:left w:w="108" w:type="dxa"/>
            <w:bottom w:w="0" w:type="dxa"/>
            <w:right w:w="108" w:type="dxa"/>
          </w:tblCellMar>
        </w:tblPrEx>
        <w:trPr>
          <w:trHeight w:val="285" w:hRule="atLeast"/>
        </w:trPr>
        <w:tc>
          <w:tcPr>
            <w:tcW w:w="810" w:type="dxa"/>
            <w:vMerge w:val="restart"/>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年度</w:t>
            </w:r>
            <w:r>
              <w:rPr>
                <w:rFonts w:hint="eastAsia" w:ascii="宋体" w:hAnsi="宋体" w:eastAsia="宋体" w:cs="宋体"/>
                <w:kern w:val="0"/>
                <w:sz w:val="28"/>
                <w:szCs w:val="28"/>
              </w:rPr>
              <w:br w:type="textWrapping"/>
            </w:r>
            <w:r>
              <w:rPr>
                <w:rFonts w:hint="eastAsia" w:ascii="宋体" w:hAnsi="宋体" w:eastAsia="宋体" w:cs="宋体"/>
                <w:kern w:val="0"/>
                <w:sz w:val="28"/>
                <w:szCs w:val="28"/>
              </w:rPr>
              <w:t>主要</w:t>
            </w:r>
            <w:r>
              <w:rPr>
                <w:rFonts w:hint="eastAsia" w:ascii="宋体" w:hAnsi="宋体" w:eastAsia="宋体" w:cs="宋体"/>
                <w:kern w:val="0"/>
                <w:sz w:val="28"/>
                <w:szCs w:val="28"/>
              </w:rPr>
              <w:br w:type="textWrapping"/>
            </w:r>
            <w:r>
              <w:rPr>
                <w:rFonts w:hint="eastAsia" w:ascii="宋体" w:hAnsi="宋体" w:eastAsia="宋体" w:cs="宋体"/>
                <w:kern w:val="0"/>
                <w:sz w:val="28"/>
                <w:szCs w:val="28"/>
              </w:rPr>
              <w:t>任务</w:t>
            </w:r>
          </w:p>
        </w:tc>
        <w:tc>
          <w:tcPr>
            <w:tcW w:w="1416" w:type="dxa"/>
            <w:gridSpan w:val="2"/>
            <w:vMerge w:val="restart"/>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任务名称</w:t>
            </w:r>
          </w:p>
        </w:tc>
        <w:tc>
          <w:tcPr>
            <w:tcW w:w="1449" w:type="dxa"/>
            <w:vMerge w:val="restart"/>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主要内容</w:t>
            </w:r>
          </w:p>
        </w:tc>
        <w:tc>
          <w:tcPr>
            <w:tcW w:w="2595" w:type="dxa"/>
            <w:gridSpan w:val="3"/>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预算金额（万元）</w:t>
            </w:r>
          </w:p>
        </w:tc>
        <w:tc>
          <w:tcPr>
            <w:tcW w:w="2550" w:type="dxa"/>
            <w:gridSpan w:val="3"/>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eastAsia" w:ascii="宋体" w:hAnsi="宋体" w:eastAsia="宋体" w:cs="宋体"/>
                <w:kern w:val="0"/>
                <w:sz w:val="28"/>
                <w:szCs w:val="28"/>
              </w:rPr>
              <w:t>实际执行（万元）</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416"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449"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90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总额</w:t>
            </w:r>
          </w:p>
        </w:tc>
        <w:tc>
          <w:tcPr>
            <w:tcW w:w="88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财政拨款</w:t>
            </w:r>
          </w:p>
        </w:tc>
        <w:tc>
          <w:tcPr>
            <w:tcW w:w="81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其他资金</w:t>
            </w:r>
          </w:p>
        </w:tc>
        <w:tc>
          <w:tcPr>
            <w:tcW w:w="82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总额</w:t>
            </w:r>
          </w:p>
        </w:tc>
        <w:tc>
          <w:tcPr>
            <w:tcW w:w="84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财政拨款</w:t>
            </w:r>
          </w:p>
        </w:tc>
        <w:tc>
          <w:tcPr>
            <w:tcW w:w="88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其他资金</w:t>
            </w:r>
          </w:p>
        </w:tc>
      </w:tr>
      <w:tr>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416" w:type="dxa"/>
            <w:gridSpan w:val="2"/>
            <w:tcBorders>
              <w:top w:val="single" w:color="auto" w:sz="4" w:space="0"/>
              <w:left w:val="nil"/>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i w:val="0"/>
                <w:iCs w:val="0"/>
                <w:color w:val="000000"/>
                <w:kern w:val="0"/>
                <w:sz w:val="20"/>
                <w:szCs w:val="20"/>
                <w:u w:val="none"/>
                <w:lang w:val="en-US" w:eastAsia="zh-CN" w:bidi="ar"/>
              </w:rPr>
              <w:t>人员保障</w:t>
            </w:r>
          </w:p>
        </w:tc>
        <w:tc>
          <w:tcPr>
            <w:tcW w:w="1449" w:type="dxa"/>
            <w:tcBorders>
              <w:top w:val="nil"/>
              <w:left w:val="nil"/>
              <w:bottom w:val="single" w:color="auto" w:sz="4" w:space="0"/>
              <w:right w:val="nil"/>
            </w:tcBorders>
            <w:vAlign w:val="center"/>
          </w:tcPr>
          <w:p>
            <w:pPr>
              <w:pageBreakBefore w:val="0"/>
              <w:widowControl/>
              <w:kinsoku/>
              <w:wordWrap/>
              <w:overflowPunct/>
              <w:topLinePunct w:val="0"/>
              <w:autoSpaceDE/>
              <w:autoSpaceDN/>
              <w:bidi w:val="0"/>
              <w:adjustRightInd/>
              <w:spacing w:line="24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　</w:t>
            </w:r>
            <w:r>
              <w:rPr>
                <w:rFonts w:hint="eastAsia" w:ascii="宋体" w:hAnsi="宋体" w:eastAsia="宋体" w:cs="宋体"/>
                <w:kern w:val="0"/>
                <w:sz w:val="18"/>
                <w:szCs w:val="18"/>
              </w:rPr>
              <w:t>用于保障部门单位人员发放工资福利支出及对个人和家庭补助</w:t>
            </w:r>
          </w:p>
        </w:tc>
        <w:tc>
          <w:tcPr>
            <w:tcW w:w="900"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155.21</w:t>
            </w:r>
            <w:r>
              <w:rPr>
                <w:rFonts w:hint="eastAsia" w:ascii="宋体" w:hAnsi="宋体" w:eastAsia="宋体" w:cs="宋体"/>
                <w:kern w:val="0"/>
                <w:sz w:val="28"/>
                <w:szCs w:val="28"/>
              </w:rPr>
              <w:t>　</w:t>
            </w:r>
          </w:p>
        </w:tc>
        <w:tc>
          <w:tcPr>
            <w:tcW w:w="88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lang w:val="en-US" w:eastAsia="zh-CN" w:bidi="ar-SA"/>
              </w:rPr>
            </w:pPr>
            <w:r>
              <w:rPr>
                <w:rFonts w:hint="default" w:ascii="宋体" w:hAnsi="宋体" w:cs="宋体"/>
                <w:kern w:val="0"/>
                <w:sz w:val="28"/>
                <w:szCs w:val="28"/>
                <w:lang w:val="en-US"/>
              </w:rPr>
              <w:t>155.21</w:t>
            </w:r>
            <w:r>
              <w:rPr>
                <w:rFonts w:hint="eastAsia" w:ascii="宋体" w:hAnsi="宋体" w:eastAsia="宋体" w:cs="宋体"/>
                <w:kern w:val="0"/>
                <w:sz w:val="28"/>
                <w:szCs w:val="28"/>
              </w:rPr>
              <w:t>　</w:t>
            </w:r>
          </w:p>
        </w:tc>
        <w:tc>
          <w:tcPr>
            <w:tcW w:w="81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0</w:t>
            </w:r>
            <w:r>
              <w:rPr>
                <w:rFonts w:hint="eastAsia" w:ascii="宋体" w:hAnsi="宋体" w:eastAsia="宋体" w:cs="宋体"/>
                <w:kern w:val="0"/>
                <w:sz w:val="28"/>
                <w:szCs w:val="28"/>
              </w:rPr>
              <w:t>　</w:t>
            </w:r>
          </w:p>
        </w:tc>
        <w:tc>
          <w:tcPr>
            <w:tcW w:w="82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155.21</w:t>
            </w:r>
            <w:r>
              <w:rPr>
                <w:rFonts w:hint="eastAsia" w:ascii="宋体" w:hAnsi="宋体" w:eastAsia="宋体" w:cs="宋体"/>
                <w:kern w:val="0"/>
                <w:sz w:val="28"/>
                <w:szCs w:val="28"/>
              </w:rPr>
              <w:t>　</w:t>
            </w:r>
          </w:p>
        </w:tc>
        <w:tc>
          <w:tcPr>
            <w:tcW w:w="84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155.21</w:t>
            </w:r>
            <w:r>
              <w:rPr>
                <w:rFonts w:hint="eastAsia" w:ascii="宋体" w:hAnsi="宋体" w:eastAsia="宋体" w:cs="宋体"/>
                <w:kern w:val="0"/>
                <w:sz w:val="28"/>
                <w:szCs w:val="28"/>
              </w:rPr>
              <w:t>　　</w:t>
            </w:r>
          </w:p>
        </w:tc>
        <w:tc>
          <w:tcPr>
            <w:tcW w:w="88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0</w:t>
            </w:r>
            <w:r>
              <w:rPr>
                <w:rFonts w:hint="eastAsia" w:ascii="宋体" w:hAnsi="宋体" w:eastAsia="宋体" w:cs="宋体"/>
                <w:kern w:val="0"/>
                <w:sz w:val="28"/>
                <w:szCs w:val="28"/>
              </w:rPr>
              <w:t>　</w:t>
            </w:r>
          </w:p>
        </w:tc>
      </w:tr>
      <w:tr>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416" w:type="dxa"/>
            <w:gridSpan w:val="2"/>
            <w:tcBorders>
              <w:top w:val="single" w:color="auto" w:sz="4" w:space="0"/>
              <w:left w:val="nil"/>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i w:val="0"/>
                <w:iCs w:val="0"/>
                <w:color w:val="000000"/>
                <w:kern w:val="0"/>
                <w:sz w:val="20"/>
                <w:szCs w:val="20"/>
                <w:u w:val="none"/>
                <w:lang w:val="en-US" w:eastAsia="zh-CN" w:bidi="ar"/>
              </w:rPr>
              <w:t>运转保障</w:t>
            </w:r>
          </w:p>
        </w:tc>
        <w:tc>
          <w:tcPr>
            <w:tcW w:w="1449" w:type="dxa"/>
            <w:tcBorders>
              <w:top w:val="nil"/>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ind w:left="0" w:leftChars="0" w:firstLine="3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18"/>
                <w:szCs w:val="18"/>
              </w:rPr>
              <w:t>用于日常办公费、取暖费、三公经费、工会经费、福利费及其他商品和服务支出</w:t>
            </w:r>
            <w:r>
              <w:rPr>
                <w:rFonts w:hint="eastAsia" w:ascii="宋体" w:hAnsi="宋体" w:eastAsia="宋体" w:cs="宋体"/>
                <w:kern w:val="0"/>
                <w:sz w:val="28"/>
                <w:szCs w:val="28"/>
              </w:rPr>
              <w:t>　</w:t>
            </w:r>
          </w:p>
        </w:tc>
        <w:tc>
          <w:tcPr>
            <w:tcW w:w="900"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5.6</w:t>
            </w:r>
            <w:r>
              <w:rPr>
                <w:rFonts w:hint="eastAsia" w:ascii="宋体" w:hAnsi="宋体" w:eastAsia="宋体" w:cs="宋体"/>
                <w:kern w:val="0"/>
                <w:sz w:val="28"/>
                <w:szCs w:val="28"/>
              </w:rPr>
              <w:t>　</w:t>
            </w:r>
          </w:p>
        </w:tc>
        <w:tc>
          <w:tcPr>
            <w:tcW w:w="88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lang w:val="en-US" w:eastAsia="zh-CN" w:bidi="ar-SA"/>
              </w:rPr>
            </w:pPr>
            <w:r>
              <w:rPr>
                <w:rFonts w:hint="default" w:ascii="宋体" w:hAnsi="宋体" w:cs="宋体"/>
                <w:kern w:val="0"/>
                <w:sz w:val="28"/>
                <w:szCs w:val="28"/>
                <w:lang w:val="en-US"/>
              </w:rPr>
              <w:t>5.6</w:t>
            </w:r>
            <w:r>
              <w:rPr>
                <w:rFonts w:hint="eastAsia" w:ascii="宋体" w:hAnsi="宋体" w:eastAsia="宋体" w:cs="宋体"/>
                <w:kern w:val="0"/>
                <w:sz w:val="28"/>
                <w:szCs w:val="28"/>
              </w:rPr>
              <w:t>　</w:t>
            </w:r>
          </w:p>
        </w:tc>
        <w:tc>
          <w:tcPr>
            <w:tcW w:w="81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0</w:t>
            </w:r>
            <w:r>
              <w:rPr>
                <w:rFonts w:hint="eastAsia" w:ascii="宋体" w:hAnsi="宋体" w:eastAsia="宋体" w:cs="宋体"/>
                <w:kern w:val="0"/>
                <w:sz w:val="28"/>
                <w:szCs w:val="28"/>
              </w:rPr>
              <w:t>　</w:t>
            </w:r>
          </w:p>
        </w:tc>
        <w:tc>
          <w:tcPr>
            <w:tcW w:w="82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5.6</w:t>
            </w:r>
            <w:r>
              <w:rPr>
                <w:rFonts w:hint="eastAsia" w:ascii="宋体" w:hAnsi="宋体" w:eastAsia="宋体" w:cs="宋体"/>
                <w:kern w:val="0"/>
                <w:sz w:val="28"/>
                <w:szCs w:val="28"/>
              </w:rPr>
              <w:t>　</w:t>
            </w:r>
          </w:p>
        </w:tc>
        <w:tc>
          <w:tcPr>
            <w:tcW w:w="84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5.6</w:t>
            </w:r>
            <w:r>
              <w:rPr>
                <w:rFonts w:hint="eastAsia" w:ascii="宋体" w:hAnsi="宋体" w:eastAsia="宋体" w:cs="宋体"/>
                <w:kern w:val="0"/>
                <w:sz w:val="28"/>
                <w:szCs w:val="28"/>
              </w:rPr>
              <w:t>　</w:t>
            </w:r>
          </w:p>
        </w:tc>
        <w:tc>
          <w:tcPr>
            <w:tcW w:w="88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0</w:t>
            </w:r>
            <w:r>
              <w:rPr>
                <w:rFonts w:hint="eastAsia" w:ascii="宋体" w:hAnsi="宋体" w:eastAsia="宋体" w:cs="宋体"/>
                <w:kern w:val="0"/>
                <w:sz w:val="28"/>
                <w:szCs w:val="28"/>
              </w:rPr>
              <w:t>　</w:t>
            </w:r>
          </w:p>
        </w:tc>
      </w:tr>
      <w:tr>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2865" w:type="dxa"/>
            <w:gridSpan w:val="3"/>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金额合计</w:t>
            </w:r>
          </w:p>
        </w:tc>
        <w:tc>
          <w:tcPr>
            <w:tcW w:w="90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　</w:t>
            </w:r>
          </w:p>
        </w:tc>
        <w:tc>
          <w:tcPr>
            <w:tcW w:w="88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160.81</w:t>
            </w:r>
            <w:r>
              <w:rPr>
                <w:rFonts w:hint="eastAsia" w:ascii="宋体" w:hAnsi="宋体" w:eastAsia="宋体" w:cs="宋体"/>
                <w:kern w:val="0"/>
                <w:sz w:val="28"/>
                <w:szCs w:val="28"/>
              </w:rPr>
              <w:t>　</w:t>
            </w:r>
          </w:p>
        </w:tc>
        <w:tc>
          <w:tcPr>
            <w:tcW w:w="810"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cs="宋体"/>
                <w:kern w:val="0"/>
                <w:sz w:val="28"/>
                <w:szCs w:val="28"/>
                <w:lang w:val="en-US" w:eastAsia="zh-CN"/>
              </w:rPr>
              <w:t>0</w:t>
            </w:r>
            <w:r>
              <w:rPr>
                <w:rFonts w:hint="eastAsia" w:ascii="宋体" w:hAnsi="宋体" w:eastAsia="宋体" w:cs="宋体"/>
                <w:kern w:val="0"/>
                <w:sz w:val="28"/>
                <w:szCs w:val="28"/>
              </w:rPr>
              <w:t>　</w:t>
            </w:r>
          </w:p>
        </w:tc>
        <w:tc>
          <w:tcPr>
            <w:tcW w:w="825"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160.81</w:t>
            </w:r>
            <w:r>
              <w:rPr>
                <w:rFonts w:hint="eastAsia" w:ascii="宋体" w:hAnsi="宋体" w:eastAsia="宋体" w:cs="宋体"/>
                <w:kern w:val="0"/>
                <w:sz w:val="28"/>
                <w:szCs w:val="28"/>
              </w:rPr>
              <w:t>　　</w:t>
            </w:r>
          </w:p>
        </w:tc>
        <w:tc>
          <w:tcPr>
            <w:tcW w:w="840"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default" w:ascii="宋体" w:hAnsi="宋体" w:cs="宋体"/>
                <w:kern w:val="0"/>
                <w:sz w:val="28"/>
                <w:szCs w:val="28"/>
                <w:lang w:val="en-US"/>
              </w:rPr>
              <w:t>160.81</w:t>
            </w:r>
            <w:r>
              <w:rPr>
                <w:rFonts w:hint="eastAsia" w:ascii="宋体" w:hAnsi="宋体" w:eastAsia="宋体" w:cs="宋体"/>
                <w:kern w:val="0"/>
                <w:sz w:val="28"/>
                <w:szCs w:val="28"/>
              </w:rPr>
              <w:t>　</w:t>
            </w:r>
            <w:r>
              <w:rPr>
                <w:rFonts w:hint="eastAsia" w:ascii="宋体" w:hAnsi="宋体" w:eastAsia="宋体" w:cs="宋体"/>
                <w:color w:val="000000"/>
                <w:kern w:val="0"/>
                <w:sz w:val="28"/>
                <w:szCs w:val="28"/>
              </w:rPr>
              <w:t>　</w:t>
            </w:r>
          </w:p>
        </w:tc>
        <w:tc>
          <w:tcPr>
            <w:tcW w:w="885"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0</w:t>
            </w:r>
            <w:r>
              <w:rPr>
                <w:rFonts w:hint="eastAsia" w:ascii="宋体" w:hAnsi="宋体" w:eastAsia="宋体" w:cs="宋体"/>
                <w:color w:val="000000"/>
                <w:kern w:val="0"/>
                <w:sz w:val="28"/>
                <w:szCs w:val="28"/>
              </w:rPr>
              <w:t>　</w:t>
            </w:r>
          </w:p>
        </w:tc>
      </w:tr>
      <w:tr>
        <w:tblPrEx>
          <w:tblCellMar>
            <w:top w:w="0" w:type="dxa"/>
            <w:left w:w="108" w:type="dxa"/>
            <w:bottom w:w="0" w:type="dxa"/>
            <w:right w:w="108" w:type="dxa"/>
          </w:tblCellMar>
        </w:tblPrEx>
        <w:trPr>
          <w:trHeight w:val="285" w:hRule="atLeast"/>
        </w:trPr>
        <w:tc>
          <w:tcPr>
            <w:tcW w:w="810"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　</w:t>
            </w:r>
          </w:p>
        </w:tc>
        <w:tc>
          <w:tcPr>
            <w:tcW w:w="3765" w:type="dxa"/>
            <w:gridSpan w:val="4"/>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预期目标</w:t>
            </w:r>
          </w:p>
        </w:tc>
        <w:tc>
          <w:tcPr>
            <w:tcW w:w="4245" w:type="dxa"/>
            <w:gridSpan w:val="5"/>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实际完成目标</w:t>
            </w:r>
          </w:p>
        </w:tc>
      </w:tr>
      <w:tr>
        <w:tblPrEx>
          <w:tblCellMar>
            <w:top w:w="0" w:type="dxa"/>
            <w:left w:w="108" w:type="dxa"/>
            <w:bottom w:w="0" w:type="dxa"/>
            <w:right w:w="108" w:type="dxa"/>
          </w:tblCellMar>
        </w:tblPrEx>
        <w:trPr>
          <w:trHeight w:val="2070" w:hRule="atLeast"/>
        </w:trPr>
        <w:tc>
          <w:tcPr>
            <w:tcW w:w="810"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年度</w:t>
            </w:r>
            <w:r>
              <w:rPr>
                <w:rFonts w:hint="eastAsia" w:ascii="宋体" w:hAnsi="宋体" w:eastAsia="宋体" w:cs="宋体"/>
                <w:kern w:val="0"/>
                <w:sz w:val="28"/>
                <w:szCs w:val="28"/>
              </w:rPr>
              <w:br w:type="textWrapping"/>
            </w:r>
            <w:r>
              <w:rPr>
                <w:rFonts w:hint="eastAsia" w:ascii="宋体" w:hAnsi="宋体" w:eastAsia="宋体" w:cs="宋体"/>
                <w:kern w:val="0"/>
                <w:sz w:val="28"/>
                <w:szCs w:val="28"/>
              </w:rPr>
              <w:t>总体</w:t>
            </w:r>
            <w:r>
              <w:rPr>
                <w:rFonts w:hint="eastAsia" w:ascii="宋体" w:hAnsi="宋体" w:eastAsia="宋体" w:cs="宋体"/>
                <w:kern w:val="0"/>
                <w:sz w:val="28"/>
                <w:szCs w:val="28"/>
              </w:rPr>
              <w:br w:type="textWrapping"/>
            </w:r>
            <w:r>
              <w:rPr>
                <w:rFonts w:hint="eastAsia" w:ascii="宋体" w:hAnsi="宋体" w:eastAsia="宋体" w:cs="宋体"/>
                <w:kern w:val="0"/>
                <w:sz w:val="28"/>
                <w:szCs w:val="28"/>
              </w:rPr>
              <w:t>目标</w:t>
            </w:r>
          </w:p>
        </w:tc>
        <w:tc>
          <w:tcPr>
            <w:tcW w:w="3765" w:type="dxa"/>
            <w:gridSpan w:val="4"/>
            <w:tcBorders>
              <w:top w:val="single" w:color="auto" w:sz="4" w:space="0"/>
              <w:left w:val="nil"/>
              <w:bottom w:val="single" w:color="auto" w:sz="4" w:space="0"/>
              <w:right w:val="single" w:color="auto" w:sz="4" w:space="0"/>
            </w:tcBorders>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2021年，围绕贯彻落实十九届五中全会、第三次中央新疆工作座谈会精神，聚焦党中央治疆方略及自治区、自治州党委和县委工作部署，结合全县旅游产业发展大会精神，聚焦总目标，提升喀拉峻5A级景区品质，完善旅游产品体系，塑造景区品牌形象，预计2021年旅游接待达到259万人次。1：持续跟踪推进喀拉峻国际生态旅游区总规、详规修编工作。2：加强景区管理，提升服务水平。3：强化市场宣传营销。4：是定期组织开展消防、安全生产、水上项目、索道等关键节点应急处突演练和安全检查督导等工作。5：扩大旅游就业，拓宽旅游富民渠道。</w:t>
            </w:r>
          </w:p>
        </w:tc>
        <w:tc>
          <w:tcPr>
            <w:tcW w:w="4245" w:type="dxa"/>
            <w:gridSpan w:val="5"/>
            <w:tcBorders>
              <w:top w:val="single" w:color="auto" w:sz="4" w:space="0"/>
              <w:left w:val="nil"/>
              <w:bottom w:val="single" w:color="auto" w:sz="4" w:space="0"/>
              <w:right w:val="single" w:color="000000" w:sz="4" w:space="0"/>
            </w:tcBorders>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2021年，围绕贯彻落实十九届五中全会、第三次中央新疆工作座谈会精神，聚焦党中央治疆方略及自治区、自治州党委和县委工作部署，结合全县旅游产业发展大会精神，聚焦总目标，提升喀拉峻5A级景区品质，完善旅游产品体系，塑造景区品牌形象，预计2021年旅游接待达到259万人次。1：持续跟踪推进喀拉峻国际生态旅游区总规、详规修编工作。2：加强景区管理，提升服务水平。3：强化市场宣传营销。4：是定期组织开展消防、安全生产、水上项目、索道等关键节点应急处突演练和安全检查督导等工作。5：扩大旅游就业，拓宽旅游富民渠道。</w:t>
            </w:r>
          </w:p>
        </w:tc>
      </w:tr>
      <w:tr>
        <w:tblPrEx>
          <w:tblCellMar>
            <w:top w:w="0" w:type="dxa"/>
            <w:left w:w="108" w:type="dxa"/>
            <w:bottom w:w="0" w:type="dxa"/>
            <w:right w:w="108" w:type="dxa"/>
          </w:tblCellMar>
        </w:tblPrEx>
        <w:trPr>
          <w:trHeight w:val="885" w:hRule="atLeast"/>
        </w:trPr>
        <w:tc>
          <w:tcPr>
            <w:tcW w:w="810" w:type="dxa"/>
            <w:vMerge w:val="restart"/>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年</w:t>
            </w:r>
            <w:r>
              <w:rPr>
                <w:rFonts w:hint="eastAsia" w:ascii="宋体" w:hAnsi="宋体" w:eastAsia="宋体" w:cs="宋体"/>
                <w:kern w:val="0"/>
                <w:sz w:val="28"/>
                <w:szCs w:val="28"/>
              </w:rPr>
              <w:br w:type="textWrapping"/>
            </w:r>
            <w:r>
              <w:rPr>
                <w:rFonts w:hint="eastAsia" w:ascii="宋体" w:hAnsi="宋体" w:eastAsia="宋体" w:cs="宋体"/>
                <w:kern w:val="0"/>
                <w:sz w:val="28"/>
                <w:szCs w:val="28"/>
              </w:rPr>
              <w:t>度</w:t>
            </w:r>
            <w:r>
              <w:rPr>
                <w:rFonts w:hint="eastAsia" w:ascii="宋体" w:hAnsi="宋体" w:eastAsia="宋体" w:cs="宋体"/>
                <w:kern w:val="0"/>
                <w:sz w:val="28"/>
                <w:szCs w:val="28"/>
              </w:rPr>
              <w:br w:type="textWrapping"/>
            </w:r>
            <w:r>
              <w:rPr>
                <w:rFonts w:hint="eastAsia" w:ascii="宋体" w:hAnsi="宋体" w:eastAsia="宋体" w:cs="宋体"/>
                <w:kern w:val="0"/>
                <w:sz w:val="28"/>
                <w:szCs w:val="28"/>
              </w:rPr>
              <w:t>绩</w:t>
            </w:r>
            <w:r>
              <w:rPr>
                <w:rFonts w:hint="eastAsia" w:ascii="宋体" w:hAnsi="宋体" w:eastAsia="宋体" w:cs="宋体"/>
                <w:kern w:val="0"/>
                <w:sz w:val="28"/>
                <w:szCs w:val="28"/>
              </w:rPr>
              <w:br w:type="textWrapping"/>
            </w:r>
            <w:r>
              <w:rPr>
                <w:rFonts w:hint="eastAsia" w:ascii="宋体" w:hAnsi="宋体" w:eastAsia="宋体" w:cs="宋体"/>
                <w:kern w:val="0"/>
                <w:sz w:val="28"/>
                <w:szCs w:val="28"/>
              </w:rPr>
              <w:t>效</w:t>
            </w:r>
            <w:r>
              <w:rPr>
                <w:rFonts w:hint="eastAsia" w:ascii="宋体" w:hAnsi="宋体" w:eastAsia="宋体" w:cs="宋体"/>
                <w:kern w:val="0"/>
                <w:sz w:val="28"/>
                <w:szCs w:val="28"/>
              </w:rPr>
              <w:br w:type="textWrapping"/>
            </w:r>
            <w:r>
              <w:rPr>
                <w:rFonts w:hint="eastAsia" w:ascii="宋体" w:hAnsi="宋体" w:eastAsia="宋体" w:cs="宋体"/>
                <w:kern w:val="0"/>
                <w:sz w:val="28"/>
                <w:szCs w:val="28"/>
              </w:rPr>
              <w:t>指</w:t>
            </w:r>
            <w:r>
              <w:rPr>
                <w:rFonts w:hint="eastAsia" w:ascii="宋体" w:hAnsi="宋体" w:eastAsia="宋体" w:cs="宋体"/>
                <w:kern w:val="0"/>
                <w:sz w:val="28"/>
                <w:szCs w:val="28"/>
              </w:rPr>
              <w:br w:type="textWrapping"/>
            </w:r>
            <w:r>
              <w:rPr>
                <w:rFonts w:hint="eastAsia" w:ascii="宋体" w:hAnsi="宋体" w:eastAsia="宋体" w:cs="宋体"/>
                <w:kern w:val="0"/>
                <w:sz w:val="28"/>
                <w:szCs w:val="28"/>
              </w:rPr>
              <w:t>标</w:t>
            </w:r>
          </w:p>
        </w:tc>
        <w:tc>
          <w:tcPr>
            <w:tcW w:w="117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一级指标</w:t>
            </w:r>
          </w:p>
        </w:tc>
        <w:tc>
          <w:tcPr>
            <w:tcW w:w="1689" w:type="dxa"/>
            <w:gridSpan w:val="2"/>
            <w:tcBorders>
              <w:top w:val="single" w:color="auto" w:sz="4" w:space="0"/>
              <w:left w:val="nil"/>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二级指标</w:t>
            </w:r>
          </w:p>
        </w:tc>
        <w:tc>
          <w:tcPr>
            <w:tcW w:w="1785" w:type="dxa"/>
            <w:gridSpan w:val="2"/>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三级指标</w:t>
            </w:r>
          </w:p>
        </w:tc>
        <w:tc>
          <w:tcPr>
            <w:tcW w:w="1635" w:type="dxa"/>
            <w:gridSpan w:val="2"/>
            <w:tcBorders>
              <w:top w:val="single" w:color="auto" w:sz="4" w:space="0"/>
              <w:left w:val="nil"/>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预期指标值（包含数字及文字描述）</w:t>
            </w:r>
          </w:p>
        </w:tc>
        <w:tc>
          <w:tcPr>
            <w:tcW w:w="1725" w:type="dxa"/>
            <w:gridSpan w:val="2"/>
            <w:tcBorders>
              <w:top w:val="single" w:color="auto" w:sz="4" w:space="0"/>
              <w:left w:val="nil"/>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实际完成指标值（包含数字及文字描述）</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restart"/>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完成指标</w:t>
            </w:r>
          </w:p>
        </w:tc>
        <w:tc>
          <w:tcPr>
            <w:tcW w:w="1689" w:type="dxa"/>
            <w:gridSpan w:val="2"/>
            <w:vMerge w:val="restart"/>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数量指标</w:t>
            </w: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保障在职人员人数</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tabs>
                <w:tab w:val="left" w:pos="327"/>
              </w:tabs>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&gt;=16人</w:t>
            </w:r>
            <w:r>
              <w:rPr>
                <w:rFonts w:hint="eastAsia" w:ascii="宋体" w:hAnsi="宋体" w:eastAsia="宋体" w:cs="宋体"/>
                <w:kern w:val="0"/>
                <w:sz w:val="28"/>
                <w:szCs w:val="28"/>
              </w:rPr>
              <w:t>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tabs>
                <w:tab w:val="left" w:pos="282"/>
              </w:tabs>
              <w:kinsoku/>
              <w:wordWrap/>
              <w:overflowPunct/>
              <w:topLinePunct w:val="0"/>
              <w:autoSpaceDE/>
              <w:autoSpaceDN/>
              <w:bidi w:val="0"/>
              <w:adjustRightInd/>
              <w:spacing w:line="360" w:lineRule="auto"/>
              <w:ind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16人</w:t>
            </w:r>
            <w:r>
              <w:rPr>
                <w:rFonts w:hint="eastAsia" w:ascii="宋体" w:hAnsi="宋体" w:eastAsia="宋体" w:cs="宋体"/>
                <w:color w:val="000000"/>
                <w:kern w:val="0"/>
                <w:sz w:val="28"/>
                <w:szCs w:val="28"/>
              </w:rPr>
              <w:t>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保障公用车数量</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&gt;=1辆</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default" w:ascii="宋体" w:hAnsi="宋体" w:cs="宋体"/>
                <w:color w:val="000000"/>
                <w:kern w:val="0"/>
                <w:sz w:val="28"/>
                <w:szCs w:val="28"/>
                <w:lang w:val="en-US"/>
              </w:rPr>
              <w:t>1</w:t>
            </w:r>
            <w:r>
              <w:rPr>
                <w:rFonts w:hint="eastAsia" w:ascii="宋体" w:hAnsi="宋体" w:cs="宋体"/>
                <w:color w:val="000000"/>
                <w:kern w:val="0"/>
                <w:sz w:val="28"/>
                <w:szCs w:val="28"/>
                <w:lang w:val="en-US" w:eastAsia="zh-CN"/>
              </w:rPr>
              <w:t>辆</w:t>
            </w:r>
            <w:r>
              <w:rPr>
                <w:rFonts w:hint="eastAsia" w:ascii="宋体" w:hAnsi="宋体" w:eastAsia="宋体" w:cs="宋体"/>
                <w:color w:val="000000"/>
                <w:kern w:val="0"/>
                <w:sz w:val="28"/>
                <w:szCs w:val="28"/>
              </w:rPr>
              <w:t>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各景点巡查、检查</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&gt;=20次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default" w:ascii="宋体" w:hAnsi="宋体" w:cs="宋体"/>
                <w:color w:val="000000"/>
                <w:kern w:val="0"/>
                <w:sz w:val="28"/>
                <w:szCs w:val="28"/>
                <w:lang w:val="en-US"/>
              </w:rPr>
              <w:t>20</w:t>
            </w:r>
            <w:r>
              <w:rPr>
                <w:rFonts w:hint="eastAsia" w:ascii="宋体" w:hAnsi="宋体" w:cs="宋体"/>
                <w:color w:val="000000"/>
                <w:kern w:val="0"/>
                <w:sz w:val="28"/>
                <w:szCs w:val="28"/>
                <w:lang w:val="en-US" w:eastAsia="zh-CN"/>
              </w:rPr>
              <w:t>次</w:t>
            </w:r>
            <w:r>
              <w:rPr>
                <w:rFonts w:hint="eastAsia" w:ascii="宋体" w:hAnsi="宋体" w:eastAsia="宋体" w:cs="宋体"/>
                <w:color w:val="000000"/>
                <w:kern w:val="0"/>
                <w:sz w:val="28"/>
                <w:szCs w:val="28"/>
              </w:rPr>
              <w:t>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restart"/>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质量指标</w:t>
            </w: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人员工资及公用经费保障率</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＞=94﹪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jc w:val="left"/>
              <w:textAlignment w:val="auto"/>
              <w:rPr>
                <w:rFonts w:hint="default" w:ascii="宋体" w:hAnsi="宋体" w:eastAsia="宋体" w:cs="宋体"/>
                <w:color w:val="000000"/>
                <w:kern w:val="0"/>
                <w:sz w:val="28"/>
                <w:szCs w:val="28"/>
                <w:lang w:val="en-US"/>
              </w:rPr>
            </w:pPr>
            <w:r>
              <w:rPr>
                <w:rFonts w:hint="default" w:ascii="宋体" w:hAnsi="宋体" w:cs="宋体"/>
                <w:color w:val="000000"/>
                <w:kern w:val="0"/>
                <w:sz w:val="28"/>
                <w:szCs w:val="28"/>
                <w:lang w:val="en-US"/>
              </w:rPr>
              <w:t xml:space="preserve">    </w:t>
            </w:r>
            <w:r>
              <w:rPr>
                <w:rFonts w:hint="eastAsia" w:ascii="宋体" w:hAnsi="宋体" w:cs="宋体"/>
                <w:color w:val="000000"/>
                <w:kern w:val="0"/>
                <w:sz w:val="28"/>
                <w:szCs w:val="28"/>
                <w:lang w:val="en-US" w:eastAsia="zh-CN"/>
              </w:rPr>
              <w:t>94</w:t>
            </w:r>
            <w:r>
              <w:rPr>
                <w:rFonts w:hint="default" w:ascii="宋体" w:hAnsi="宋体" w:cs="宋体"/>
                <w:color w:val="000000"/>
                <w:kern w:val="0"/>
                <w:sz w:val="28"/>
                <w:szCs w:val="28"/>
                <w:lang w:val="en-US"/>
              </w:rPr>
              <w:t>%</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巡查、检查覆盖率</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tabs>
                <w:tab w:val="left" w:pos="342"/>
              </w:tabs>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default" w:ascii="宋体" w:hAnsi="宋体" w:cs="宋体"/>
                <w:kern w:val="0"/>
                <w:sz w:val="28"/>
                <w:szCs w:val="28"/>
                <w:lang w:val="en-US"/>
              </w:rPr>
              <w:t>＞=98%</w:t>
            </w:r>
            <w:r>
              <w:rPr>
                <w:rFonts w:hint="eastAsia" w:ascii="宋体" w:hAnsi="宋体" w:eastAsia="宋体" w:cs="宋体"/>
                <w:kern w:val="0"/>
                <w:sz w:val="28"/>
                <w:szCs w:val="28"/>
              </w:rPr>
              <w:t>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98</w:t>
            </w:r>
            <w:r>
              <w:rPr>
                <w:rFonts w:hint="eastAsia" w:ascii="宋体" w:hAnsi="宋体" w:eastAsia="宋体" w:cs="宋体"/>
                <w:color w:val="000000"/>
                <w:kern w:val="0"/>
                <w:sz w:val="28"/>
                <w:szCs w:val="28"/>
              </w:rPr>
              <w:t>%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restart"/>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时效指标</w:t>
            </w: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工资发放及时率</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＞=95﹪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＞=95﹪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年度工作任务按时完成率</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100﹪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100﹪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restart"/>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成本指标</w:t>
            </w: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保障人员人均支出标准</w:t>
            </w:r>
          </w:p>
        </w:tc>
        <w:tc>
          <w:tcPr>
            <w:tcW w:w="1635" w:type="dxa"/>
            <w:gridSpan w:val="2"/>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p>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&lt;=9.7万元　</w:t>
            </w:r>
          </w:p>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9.7</w:t>
            </w:r>
            <w:r>
              <w:rPr>
                <w:rFonts w:hint="eastAsia" w:ascii="宋体" w:hAnsi="宋体" w:eastAsia="宋体" w:cs="宋体"/>
                <w:color w:val="000000"/>
                <w:kern w:val="0"/>
                <w:sz w:val="28"/>
                <w:szCs w:val="28"/>
              </w:rPr>
              <w:t>万元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人均运转经费</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&lt;=0.3万元</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0.</w:t>
            </w:r>
            <w:r>
              <w:rPr>
                <w:rFonts w:hint="eastAsia" w:ascii="宋体" w:hAnsi="宋体" w:cs="宋体"/>
                <w:color w:val="000000"/>
                <w:kern w:val="0"/>
                <w:sz w:val="28"/>
                <w:szCs w:val="28"/>
                <w:lang w:val="en-US" w:eastAsia="zh-CN"/>
              </w:rPr>
              <w:t>3</w:t>
            </w:r>
            <w:r>
              <w:rPr>
                <w:rFonts w:hint="eastAsia" w:ascii="宋体" w:hAnsi="宋体" w:eastAsia="宋体" w:cs="宋体"/>
                <w:color w:val="000000"/>
                <w:kern w:val="0"/>
                <w:sz w:val="28"/>
                <w:szCs w:val="28"/>
              </w:rPr>
              <w:t>万元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公用车保障费</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&lt;=0.8万元</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0.8万元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社会效益</w:t>
            </w:r>
            <w:r>
              <w:rPr>
                <w:rFonts w:hint="eastAsia" w:ascii="宋体" w:hAnsi="宋体" w:eastAsia="宋体" w:cs="宋体"/>
                <w:kern w:val="0"/>
                <w:sz w:val="28"/>
                <w:szCs w:val="28"/>
              </w:rPr>
              <w:br w:type="textWrapping"/>
            </w:r>
            <w:r>
              <w:rPr>
                <w:rFonts w:hint="eastAsia" w:ascii="宋体" w:hAnsi="宋体" w:eastAsia="宋体" w:cs="宋体"/>
                <w:kern w:val="0"/>
                <w:sz w:val="28"/>
                <w:szCs w:val="28"/>
              </w:rPr>
              <w:t>指标</w:t>
            </w: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促进周边居民就业</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有效促进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firstLine="420" w:firstLineChars="15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显著</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生态效益</w:t>
            </w:r>
            <w:r>
              <w:rPr>
                <w:rFonts w:hint="eastAsia" w:ascii="宋体" w:hAnsi="宋体" w:eastAsia="宋体" w:cs="宋体"/>
                <w:kern w:val="0"/>
                <w:sz w:val="28"/>
                <w:szCs w:val="28"/>
              </w:rPr>
              <w:br w:type="textWrapping"/>
            </w:r>
            <w:r>
              <w:rPr>
                <w:rFonts w:hint="eastAsia" w:ascii="宋体" w:hAnsi="宋体" w:eastAsia="宋体" w:cs="宋体"/>
                <w:kern w:val="0"/>
                <w:sz w:val="28"/>
                <w:szCs w:val="28"/>
              </w:rPr>
              <w:t>指标</w:t>
            </w: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改善景区环境</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有效改善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firstLine="420" w:firstLineChars="15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显著　</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bookmarkStart w:id="36" w:name="_GoBack"/>
            <w:bookmarkEnd w:id="36"/>
          </w:p>
        </w:tc>
        <w:tc>
          <w:tcPr>
            <w:tcW w:w="1176" w:type="dxa"/>
            <w:vMerge w:val="restart"/>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满意度</w:t>
            </w:r>
            <w:r>
              <w:rPr>
                <w:rFonts w:hint="eastAsia" w:ascii="宋体" w:hAnsi="宋体" w:eastAsia="宋体" w:cs="宋体"/>
                <w:kern w:val="0"/>
                <w:sz w:val="28"/>
                <w:szCs w:val="28"/>
              </w:rPr>
              <w:br w:type="textWrapping"/>
            </w:r>
            <w:r>
              <w:rPr>
                <w:rFonts w:hint="eastAsia" w:ascii="宋体" w:hAnsi="宋体" w:eastAsia="宋体" w:cs="宋体"/>
                <w:kern w:val="0"/>
                <w:sz w:val="28"/>
                <w:szCs w:val="28"/>
              </w:rPr>
              <w:t>指标</w:t>
            </w:r>
          </w:p>
        </w:tc>
        <w:tc>
          <w:tcPr>
            <w:tcW w:w="1689" w:type="dxa"/>
            <w:gridSpan w:val="2"/>
            <w:vMerge w:val="restart"/>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满意度指标</w:t>
            </w: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游客满意度</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＞=95﹪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kern w:val="0"/>
                <w:sz w:val="28"/>
                <w:szCs w:val="28"/>
              </w:rPr>
              <w:t>95﹪</w:t>
            </w:r>
          </w:p>
        </w:tc>
      </w:tr>
      <w:tr>
        <w:tblPrEx>
          <w:tblCellMar>
            <w:top w:w="0" w:type="dxa"/>
            <w:left w:w="108" w:type="dxa"/>
            <w:bottom w:w="0" w:type="dxa"/>
            <w:right w:w="108" w:type="dxa"/>
          </w:tblCellMar>
        </w:tblPrEx>
        <w:trPr>
          <w:trHeight w:val="285" w:hRule="atLeast"/>
        </w:trPr>
        <w:tc>
          <w:tcPr>
            <w:tcW w:w="810" w:type="dxa"/>
            <w:vMerge w:val="continue"/>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176" w:type="dxa"/>
            <w:vMerge w:val="continue"/>
            <w:tcBorders>
              <w:top w:val="nil"/>
              <w:left w:val="single" w:color="auto" w:sz="4" w:space="0"/>
              <w:bottom w:val="single" w:color="000000" w:sz="4" w:space="0"/>
              <w:right w:val="single" w:color="auto"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689" w:type="dxa"/>
            <w:gridSpan w:val="2"/>
            <w:vMerge w:val="continue"/>
            <w:tcBorders>
              <w:top w:val="single" w:color="auto" w:sz="4" w:space="0"/>
              <w:left w:val="single" w:color="auto"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kern w:val="0"/>
                <w:sz w:val="28"/>
                <w:szCs w:val="28"/>
              </w:rPr>
            </w:pPr>
          </w:p>
        </w:tc>
        <w:tc>
          <w:tcPr>
            <w:tcW w:w="1785" w:type="dxa"/>
            <w:gridSpan w:val="2"/>
            <w:tcBorders>
              <w:top w:val="single" w:color="auto" w:sz="4" w:space="0"/>
              <w:left w:val="nil"/>
              <w:bottom w:val="single" w:color="auto" w:sz="4" w:space="0"/>
              <w:right w:val="nil"/>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职工满意度</w:t>
            </w:r>
          </w:p>
        </w:tc>
        <w:tc>
          <w:tcPr>
            <w:tcW w:w="1635" w:type="dxa"/>
            <w:gridSpan w:val="2"/>
            <w:tcBorders>
              <w:top w:val="single" w:color="auto" w:sz="4" w:space="0"/>
              <w:left w:val="single" w:color="auto"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pacing w:line="360" w:lineRule="auto"/>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＞=95﹪　</w:t>
            </w:r>
          </w:p>
        </w:tc>
        <w:tc>
          <w:tcPr>
            <w:tcW w:w="1725" w:type="dxa"/>
            <w:gridSpan w:val="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pacing w:line="360" w:lineRule="auto"/>
              <w:ind w:firstLine="280" w:firstLineChars="1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w:t>
            </w:r>
            <w:r>
              <w:rPr>
                <w:rFonts w:hint="eastAsia" w:ascii="宋体" w:hAnsi="宋体" w:eastAsia="宋体" w:cs="宋体"/>
                <w:kern w:val="0"/>
                <w:sz w:val="28"/>
                <w:szCs w:val="28"/>
              </w:rPr>
              <w:t>95﹪</w:t>
            </w:r>
          </w:p>
        </w:tc>
      </w:tr>
    </w:tbl>
    <w:p>
      <w:pPr>
        <w:pageBreakBefore w:val="0"/>
        <w:kinsoku/>
        <w:wordWrap/>
        <w:overflowPunct/>
        <w:topLinePunct w:val="0"/>
        <w:autoSpaceDE/>
        <w:autoSpaceDN/>
        <w:bidi w:val="0"/>
        <w:adjustRightInd/>
        <w:spacing w:line="360" w:lineRule="auto"/>
        <w:ind w:left="0" w:leftChars="0" w:firstLine="560" w:firstLineChars="200"/>
        <w:jc w:val="left"/>
        <w:textAlignment w:val="auto"/>
        <w:rPr>
          <w:rFonts w:hint="eastAsia" w:ascii="宋体" w:hAnsi="宋体" w:eastAsia="宋体" w:cs="宋体"/>
          <w:color w:val="333333"/>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sz w:val="28"/>
        <w:szCs w:val="28"/>
        <w:lang w:val="zh-CN"/>
      </w:rPr>
      <w:t>16</w:t>
    </w:r>
    <w:r>
      <w:rPr>
        <w:rFonts w:ascii="宋体" w:hAnsi="宋体"/>
        <w:sz w:val="28"/>
        <w:szCs w:val="28"/>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cs="Times New Roman"/>
      </w:rPr>
    </w:lvl>
  </w:abstractNum>
  <w:abstractNum w:abstractNumId="1">
    <w:nsid w:val="37B966C7"/>
    <w:multiLevelType w:val="multilevel"/>
    <w:tmpl w:val="37B966C7"/>
    <w:lvl w:ilvl="0" w:tentative="0">
      <w:start w:val="1"/>
      <w:numFmt w:val="chineseCountingThousand"/>
      <w:lvlText w:val="(%1)"/>
      <w:lvlJc w:val="left"/>
      <w:pPr>
        <w:ind w:left="982" w:hanging="420"/>
      </w:pPr>
      <w:rPr>
        <w:rFonts w:cs="Times New Roman"/>
      </w:rPr>
    </w:lvl>
    <w:lvl w:ilvl="1" w:tentative="0">
      <w:start w:val="1"/>
      <w:numFmt w:val="lowerLetter"/>
      <w:lvlText w:val="%2)"/>
      <w:lvlJc w:val="left"/>
      <w:pPr>
        <w:ind w:left="1402" w:hanging="420"/>
      </w:pPr>
      <w:rPr>
        <w:rFonts w:cs="Times New Roman"/>
      </w:rPr>
    </w:lvl>
    <w:lvl w:ilvl="2" w:tentative="0">
      <w:start w:val="1"/>
      <w:numFmt w:val="lowerRoman"/>
      <w:lvlText w:val="%3."/>
      <w:lvlJc w:val="right"/>
      <w:pPr>
        <w:ind w:left="1822" w:hanging="420"/>
      </w:pPr>
      <w:rPr>
        <w:rFonts w:cs="Times New Roman"/>
      </w:rPr>
    </w:lvl>
    <w:lvl w:ilvl="3" w:tentative="0">
      <w:start w:val="1"/>
      <w:numFmt w:val="decimal"/>
      <w:lvlText w:val="%4."/>
      <w:lvlJc w:val="left"/>
      <w:pPr>
        <w:ind w:left="2242" w:hanging="420"/>
      </w:pPr>
      <w:rPr>
        <w:rFonts w:cs="Times New Roman"/>
      </w:rPr>
    </w:lvl>
    <w:lvl w:ilvl="4" w:tentative="0">
      <w:start w:val="1"/>
      <w:numFmt w:val="lowerLetter"/>
      <w:lvlText w:val="%5)"/>
      <w:lvlJc w:val="left"/>
      <w:pPr>
        <w:ind w:left="2662" w:hanging="420"/>
      </w:pPr>
      <w:rPr>
        <w:rFonts w:cs="Times New Roman"/>
      </w:rPr>
    </w:lvl>
    <w:lvl w:ilvl="5" w:tentative="0">
      <w:start w:val="1"/>
      <w:numFmt w:val="lowerRoman"/>
      <w:lvlText w:val="%6."/>
      <w:lvlJc w:val="right"/>
      <w:pPr>
        <w:ind w:left="3082" w:hanging="420"/>
      </w:pPr>
      <w:rPr>
        <w:rFonts w:cs="Times New Roman"/>
      </w:rPr>
    </w:lvl>
    <w:lvl w:ilvl="6" w:tentative="0">
      <w:start w:val="1"/>
      <w:numFmt w:val="decimal"/>
      <w:lvlText w:val="%7."/>
      <w:lvlJc w:val="left"/>
      <w:pPr>
        <w:ind w:left="3502" w:hanging="420"/>
      </w:pPr>
      <w:rPr>
        <w:rFonts w:cs="Times New Roman"/>
      </w:rPr>
    </w:lvl>
    <w:lvl w:ilvl="7" w:tentative="0">
      <w:start w:val="1"/>
      <w:numFmt w:val="lowerLetter"/>
      <w:lvlText w:val="%8)"/>
      <w:lvlJc w:val="left"/>
      <w:pPr>
        <w:ind w:left="3922" w:hanging="420"/>
      </w:pPr>
      <w:rPr>
        <w:rFonts w:cs="Times New Roman"/>
      </w:rPr>
    </w:lvl>
    <w:lvl w:ilvl="8" w:tentative="0">
      <w:start w:val="1"/>
      <w:numFmt w:val="lowerRoman"/>
      <w:lvlText w:val="%9."/>
      <w:lvlJc w:val="right"/>
      <w:pPr>
        <w:ind w:left="4342"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I1MDZlYmI5MDk0MTg0NGQ5YjU3MzZhZWMwZGE3NjIifQ=="/>
  </w:docVars>
  <w:rsids>
    <w:rsidRoot w:val="00633862"/>
    <w:rsid w:val="00025A44"/>
    <w:rsid w:val="00072084"/>
    <w:rsid w:val="0009422A"/>
    <w:rsid w:val="000A142E"/>
    <w:rsid w:val="000B6B13"/>
    <w:rsid w:val="000D1DEE"/>
    <w:rsid w:val="000D252D"/>
    <w:rsid w:val="000D3AFA"/>
    <w:rsid w:val="00105D60"/>
    <w:rsid w:val="001121F2"/>
    <w:rsid w:val="00112859"/>
    <w:rsid w:val="001173EB"/>
    <w:rsid w:val="00150C4C"/>
    <w:rsid w:val="00191BA3"/>
    <w:rsid w:val="001A2299"/>
    <w:rsid w:val="001A3A0E"/>
    <w:rsid w:val="001E75C9"/>
    <w:rsid w:val="001F630E"/>
    <w:rsid w:val="0022744B"/>
    <w:rsid w:val="00234372"/>
    <w:rsid w:val="00234B37"/>
    <w:rsid w:val="00246941"/>
    <w:rsid w:val="0027194F"/>
    <w:rsid w:val="002764C7"/>
    <w:rsid w:val="002D075E"/>
    <w:rsid w:val="002F442D"/>
    <w:rsid w:val="00303A08"/>
    <w:rsid w:val="00316D94"/>
    <w:rsid w:val="003226C4"/>
    <w:rsid w:val="00327A96"/>
    <w:rsid w:val="00333C56"/>
    <w:rsid w:val="003603C0"/>
    <w:rsid w:val="003E3DEF"/>
    <w:rsid w:val="003E7C70"/>
    <w:rsid w:val="00415143"/>
    <w:rsid w:val="0049337C"/>
    <w:rsid w:val="004C4C4D"/>
    <w:rsid w:val="004C6FF3"/>
    <w:rsid w:val="004E69F5"/>
    <w:rsid w:val="004E7AAC"/>
    <w:rsid w:val="00531A31"/>
    <w:rsid w:val="00533C6C"/>
    <w:rsid w:val="00591916"/>
    <w:rsid w:val="00593943"/>
    <w:rsid w:val="005A0640"/>
    <w:rsid w:val="005A08A8"/>
    <w:rsid w:val="005B1250"/>
    <w:rsid w:val="005C33CE"/>
    <w:rsid w:val="006225D7"/>
    <w:rsid w:val="00633862"/>
    <w:rsid w:val="006379B7"/>
    <w:rsid w:val="006413B6"/>
    <w:rsid w:val="006910A7"/>
    <w:rsid w:val="00691310"/>
    <w:rsid w:val="00692168"/>
    <w:rsid w:val="006A7181"/>
    <w:rsid w:val="006C5BED"/>
    <w:rsid w:val="006D3947"/>
    <w:rsid w:val="006E4D3A"/>
    <w:rsid w:val="00702D4A"/>
    <w:rsid w:val="007115C8"/>
    <w:rsid w:val="00713ADC"/>
    <w:rsid w:val="00725B9A"/>
    <w:rsid w:val="00754721"/>
    <w:rsid w:val="007713F8"/>
    <w:rsid w:val="007A5129"/>
    <w:rsid w:val="007A7491"/>
    <w:rsid w:val="007A7874"/>
    <w:rsid w:val="00800784"/>
    <w:rsid w:val="00817432"/>
    <w:rsid w:val="008614D8"/>
    <w:rsid w:val="00875327"/>
    <w:rsid w:val="00886879"/>
    <w:rsid w:val="00890FC2"/>
    <w:rsid w:val="008C788D"/>
    <w:rsid w:val="008E3993"/>
    <w:rsid w:val="008E3F8A"/>
    <w:rsid w:val="00923468"/>
    <w:rsid w:val="00952782"/>
    <w:rsid w:val="0095580D"/>
    <w:rsid w:val="0097614B"/>
    <w:rsid w:val="00992D45"/>
    <w:rsid w:val="00995B01"/>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81D91"/>
    <w:rsid w:val="00BA1454"/>
    <w:rsid w:val="00BD369E"/>
    <w:rsid w:val="00C42609"/>
    <w:rsid w:val="00C4673D"/>
    <w:rsid w:val="00C76454"/>
    <w:rsid w:val="00C81702"/>
    <w:rsid w:val="00C81F75"/>
    <w:rsid w:val="00CB1C9D"/>
    <w:rsid w:val="00CC7606"/>
    <w:rsid w:val="00CD2F35"/>
    <w:rsid w:val="00CE16E7"/>
    <w:rsid w:val="00CE61DB"/>
    <w:rsid w:val="00D26F3D"/>
    <w:rsid w:val="00D278CF"/>
    <w:rsid w:val="00D7350D"/>
    <w:rsid w:val="00D77626"/>
    <w:rsid w:val="00D81EE2"/>
    <w:rsid w:val="00DA67B8"/>
    <w:rsid w:val="00DB1085"/>
    <w:rsid w:val="00DD223C"/>
    <w:rsid w:val="00E213C7"/>
    <w:rsid w:val="00E41A31"/>
    <w:rsid w:val="00E7188B"/>
    <w:rsid w:val="00EA0713"/>
    <w:rsid w:val="00EB536A"/>
    <w:rsid w:val="00F006BD"/>
    <w:rsid w:val="00F17550"/>
    <w:rsid w:val="00F26F3B"/>
    <w:rsid w:val="00F27120"/>
    <w:rsid w:val="00F341E0"/>
    <w:rsid w:val="00F36401"/>
    <w:rsid w:val="00F42445"/>
    <w:rsid w:val="00F44FCC"/>
    <w:rsid w:val="00F74974"/>
    <w:rsid w:val="00F829DE"/>
    <w:rsid w:val="00F84215"/>
    <w:rsid w:val="00F91CBB"/>
    <w:rsid w:val="02E778CB"/>
    <w:rsid w:val="036C5820"/>
    <w:rsid w:val="03FF56E1"/>
    <w:rsid w:val="04A3060E"/>
    <w:rsid w:val="08046995"/>
    <w:rsid w:val="08566A1E"/>
    <w:rsid w:val="095711C8"/>
    <w:rsid w:val="0B3C35A5"/>
    <w:rsid w:val="0E615992"/>
    <w:rsid w:val="0E9A5E97"/>
    <w:rsid w:val="11C17936"/>
    <w:rsid w:val="13AE31F3"/>
    <w:rsid w:val="15C95CAC"/>
    <w:rsid w:val="1A100CB2"/>
    <w:rsid w:val="1A1A6345"/>
    <w:rsid w:val="1C41724C"/>
    <w:rsid w:val="1EB60E4D"/>
    <w:rsid w:val="24B8273F"/>
    <w:rsid w:val="28BB5EEC"/>
    <w:rsid w:val="2D2F4DAB"/>
    <w:rsid w:val="30F20F24"/>
    <w:rsid w:val="310D525E"/>
    <w:rsid w:val="339D04C8"/>
    <w:rsid w:val="340E30B5"/>
    <w:rsid w:val="35D7742D"/>
    <w:rsid w:val="36934FDA"/>
    <w:rsid w:val="3BBC49CA"/>
    <w:rsid w:val="3BD51050"/>
    <w:rsid w:val="3CCE2B34"/>
    <w:rsid w:val="3D1141E0"/>
    <w:rsid w:val="41BB2D74"/>
    <w:rsid w:val="43D77EA0"/>
    <w:rsid w:val="46BD1123"/>
    <w:rsid w:val="4D890FA9"/>
    <w:rsid w:val="52DE792F"/>
    <w:rsid w:val="53896A90"/>
    <w:rsid w:val="58F93D73"/>
    <w:rsid w:val="5BC07B44"/>
    <w:rsid w:val="5D8F705F"/>
    <w:rsid w:val="5DE3653F"/>
    <w:rsid w:val="5E433E64"/>
    <w:rsid w:val="5E7E0D08"/>
    <w:rsid w:val="63097B7E"/>
    <w:rsid w:val="63C10080"/>
    <w:rsid w:val="6B927EBE"/>
    <w:rsid w:val="700362E3"/>
    <w:rsid w:val="714B5C15"/>
    <w:rsid w:val="74481F9C"/>
    <w:rsid w:val="74D93DAE"/>
    <w:rsid w:val="7C0276F4"/>
    <w:rsid w:val="7CD253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qFormat="1" w:unhideWhenUsed="0" w:uiPriority="99" w:semiHidden="0" w:name="toc 2"/>
    <w:lsdException w:qFormat="1" w:unhideWhenUsed="0" w:uiPriority="99" w:semiHidden="0" w:name="toc 3"/>
    <w:lsdException w:qFormat="1" w:unhideWhenUsed="0" w:uiPriority="99" w:semiHidden="0" w:name="toc 4"/>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4">
    <w:name w:val="heading 1"/>
    <w:basedOn w:val="1"/>
    <w:next w:val="1"/>
    <w:link w:val="20"/>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21"/>
    <w:qFormat/>
    <w:uiPriority w:val="99"/>
    <w:pPr>
      <w:keepNext/>
      <w:keepLines/>
      <w:spacing w:before="260" w:after="260" w:line="416" w:lineRule="auto"/>
      <w:outlineLvl w:val="1"/>
    </w:pPr>
    <w:rPr>
      <w:rFonts w:ascii="Cambria" w:hAnsi="Cambria" w:cs="Times New Roman"/>
      <w:b/>
      <w:bCs/>
      <w:sz w:val="32"/>
      <w:szCs w:val="32"/>
    </w:rPr>
  </w:style>
  <w:style w:type="paragraph" w:styleId="6">
    <w:name w:val="heading 3"/>
    <w:basedOn w:val="1"/>
    <w:next w:val="1"/>
    <w:link w:val="22"/>
    <w:qFormat/>
    <w:uiPriority w:val="99"/>
    <w:pPr>
      <w:keepNext/>
      <w:keepLines/>
      <w:spacing w:before="260" w:after="260" w:line="416" w:lineRule="auto"/>
      <w:outlineLvl w:val="2"/>
    </w:pPr>
    <w:rPr>
      <w:b/>
      <w:bCs/>
      <w:sz w:val="32"/>
      <w:szCs w:val="32"/>
    </w:rPr>
  </w:style>
  <w:style w:type="paragraph" w:styleId="7">
    <w:name w:val="heading 4"/>
    <w:basedOn w:val="1"/>
    <w:next w:val="1"/>
    <w:link w:val="23"/>
    <w:qFormat/>
    <w:uiPriority w:val="99"/>
    <w:pPr>
      <w:keepNext/>
      <w:keepLines/>
      <w:spacing w:before="280" w:after="290" w:line="376" w:lineRule="auto"/>
      <w:outlineLvl w:val="3"/>
    </w:pPr>
    <w:rPr>
      <w:rFonts w:ascii="Cambria" w:hAnsi="Cambria" w:cs="Times New Roman"/>
      <w:b/>
      <w:bCs/>
      <w:sz w:val="28"/>
      <w:szCs w:val="28"/>
    </w:rPr>
  </w:style>
  <w:style w:type="character" w:default="1" w:styleId="17">
    <w:name w:val="Default Paragraph Font"/>
    <w:semiHidden/>
    <w:qFormat/>
    <w:uiPriority w:val="99"/>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2"/>
    <w:qFormat/>
    <w:uiPriority w:val="0"/>
    <w:pPr>
      <w:spacing w:after="120"/>
      <w:ind w:left="420" w:leftChars="200"/>
    </w:pPr>
  </w:style>
  <w:style w:type="paragraph" w:styleId="8">
    <w:name w:val="toc 3"/>
    <w:basedOn w:val="1"/>
    <w:next w:val="1"/>
    <w:qFormat/>
    <w:uiPriority w:val="99"/>
    <w:pPr>
      <w:ind w:left="840" w:leftChars="400"/>
    </w:pPr>
  </w:style>
  <w:style w:type="paragraph" w:styleId="9">
    <w:name w:val="footer"/>
    <w:basedOn w:val="1"/>
    <w:link w:val="24"/>
    <w:qFormat/>
    <w:uiPriority w:val="99"/>
    <w:pPr>
      <w:tabs>
        <w:tab w:val="center" w:pos="4153"/>
        <w:tab w:val="right" w:pos="8306"/>
      </w:tabs>
      <w:snapToGrid w:val="0"/>
      <w:jc w:val="left"/>
    </w:pPr>
    <w:rPr>
      <w:sz w:val="18"/>
      <w:szCs w:val="18"/>
    </w:rPr>
  </w:style>
  <w:style w:type="paragraph" w:styleId="10">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1">
    <w:name w:val="toc 4"/>
    <w:basedOn w:val="1"/>
    <w:next w:val="1"/>
    <w:qFormat/>
    <w:uiPriority w:val="99"/>
    <w:pPr>
      <w:ind w:left="1260" w:leftChars="600"/>
    </w:pPr>
  </w:style>
  <w:style w:type="paragraph" w:styleId="12">
    <w:name w:val="Subtitle"/>
    <w:basedOn w:val="1"/>
    <w:next w:val="1"/>
    <w:link w:val="26"/>
    <w:qFormat/>
    <w:uiPriority w:val="99"/>
    <w:pPr>
      <w:spacing w:before="240" w:after="60" w:line="312" w:lineRule="auto"/>
      <w:jc w:val="center"/>
      <w:outlineLvl w:val="1"/>
    </w:pPr>
    <w:rPr>
      <w:b/>
      <w:bCs/>
      <w:kern w:val="28"/>
      <w:sz w:val="32"/>
      <w:szCs w:val="32"/>
    </w:rPr>
  </w:style>
  <w:style w:type="paragraph" w:styleId="13">
    <w:name w:val="toc 2"/>
    <w:basedOn w:val="1"/>
    <w:next w:val="1"/>
    <w:qFormat/>
    <w:uiPriority w:val="99"/>
    <w:pPr>
      <w:ind w:left="420" w:leftChars="200"/>
    </w:pPr>
  </w:style>
  <w:style w:type="paragraph" w:styleId="14">
    <w:name w:val="Normal (Web)"/>
    <w:basedOn w:val="1"/>
    <w:qFormat/>
    <w:uiPriority w:val="99"/>
    <w:pPr>
      <w:spacing w:before="100" w:beforeAutospacing="1" w:after="100" w:afterAutospacing="1"/>
      <w:jc w:val="left"/>
    </w:pPr>
    <w:rPr>
      <w:rFonts w:cs="Times New Roman"/>
      <w:sz w:val="24"/>
    </w:rPr>
  </w:style>
  <w:style w:type="paragraph" w:styleId="15">
    <w:name w:val="Title"/>
    <w:basedOn w:val="1"/>
    <w:next w:val="1"/>
    <w:link w:val="27"/>
    <w:qFormat/>
    <w:uiPriority w:val="99"/>
    <w:pPr>
      <w:spacing w:before="240" w:after="60"/>
      <w:jc w:val="center"/>
      <w:outlineLvl w:val="0"/>
    </w:pPr>
    <w:rPr>
      <w:rFonts w:ascii="Cambria" w:hAnsi="Cambria" w:cs="Times New Roman"/>
      <w:b/>
      <w:bCs/>
      <w:sz w:val="32"/>
      <w:szCs w:val="32"/>
    </w:rPr>
  </w:style>
  <w:style w:type="character" w:styleId="18">
    <w:name w:val="Strong"/>
    <w:basedOn w:val="17"/>
    <w:qFormat/>
    <w:uiPriority w:val="99"/>
    <w:rPr>
      <w:rFonts w:cs="Times New Roman"/>
      <w:b/>
      <w:bCs/>
    </w:rPr>
  </w:style>
  <w:style w:type="character" w:styleId="19">
    <w:name w:val="Hyperlink"/>
    <w:basedOn w:val="17"/>
    <w:qFormat/>
    <w:uiPriority w:val="99"/>
    <w:rPr>
      <w:rFonts w:cs="Times New Roman"/>
      <w:color w:val="0000FF"/>
      <w:u w:val="single"/>
    </w:rPr>
  </w:style>
  <w:style w:type="character" w:customStyle="1" w:styleId="20">
    <w:name w:val="Heading 1 Char"/>
    <w:basedOn w:val="17"/>
    <w:link w:val="4"/>
    <w:qFormat/>
    <w:locked/>
    <w:uiPriority w:val="99"/>
    <w:rPr>
      <w:rFonts w:cs="Times New Roman"/>
      <w:b/>
      <w:bCs/>
      <w:kern w:val="44"/>
      <w:sz w:val="44"/>
      <w:szCs w:val="44"/>
    </w:rPr>
  </w:style>
  <w:style w:type="character" w:customStyle="1" w:styleId="21">
    <w:name w:val="Heading 2 Char"/>
    <w:basedOn w:val="17"/>
    <w:link w:val="5"/>
    <w:qFormat/>
    <w:locked/>
    <w:uiPriority w:val="99"/>
    <w:rPr>
      <w:rFonts w:ascii="Cambria" w:hAnsi="Cambria" w:eastAsia="宋体" w:cs="Times New Roman"/>
      <w:b/>
      <w:bCs/>
      <w:sz w:val="32"/>
      <w:szCs w:val="32"/>
    </w:rPr>
  </w:style>
  <w:style w:type="character" w:customStyle="1" w:styleId="22">
    <w:name w:val="Heading 3 Char"/>
    <w:basedOn w:val="17"/>
    <w:link w:val="6"/>
    <w:qFormat/>
    <w:locked/>
    <w:uiPriority w:val="99"/>
    <w:rPr>
      <w:rFonts w:cs="Times New Roman"/>
      <w:b/>
      <w:bCs/>
      <w:sz w:val="32"/>
      <w:szCs w:val="32"/>
    </w:rPr>
  </w:style>
  <w:style w:type="character" w:customStyle="1" w:styleId="23">
    <w:name w:val="Heading 4 Char"/>
    <w:basedOn w:val="17"/>
    <w:link w:val="7"/>
    <w:qFormat/>
    <w:locked/>
    <w:uiPriority w:val="99"/>
    <w:rPr>
      <w:rFonts w:ascii="Cambria" w:hAnsi="Cambria" w:eastAsia="宋体" w:cs="Times New Roman"/>
      <w:b/>
      <w:bCs/>
      <w:sz w:val="28"/>
      <w:szCs w:val="28"/>
    </w:rPr>
  </w:style>
  <w:style w:type="character" w:customStyle="1" w:styleId="24">
    <w:name w:val="Footer Char"/>
    <w:basedOn w:val="17"/>
    <w:link w:val="9"/>
    <w:qFormat/>
    <w:locked/>
    <w:uiPriority w:val="99"/>
    <w:rPr>
      <w:rFonts w:cs="Times New Roman"/>
      <w:sz w:val="18"/>
      <w:szCs w:val="18"/>
    </w:rPr>
  </w:style>
  <w:style w:type="character" w:customStyle="1" w:styleId="25">
    <w:name w:val="Header Char"/>
    <w:basedOn w:val="17"/>
    <w:link w:val="10"/>
    <w:qFormat/>
    <w:locked/>
    <w:uiPriority w:val="99"/>
    <w:rPr>
      <w:rFonts w:cs="Times New Roman"/>
      <w:sz w:val="18"/>
      <w:szCs w:val="18"/>
    </w:rPr>
  </w:style>
  <w:style w:type="character" w:customStyle="1" w:styleId="26">
    <w:name w:val="Subtitle Char"/>
    <w:basedOn w:val="17"/>
    <w:link w:val="12"/>
    <w:qFormat/>
    <w:locked/>
    <w:uiPriority w:val="99"/>
    <w:rPr>
      <w:rFonts w:cs="Times New Roman"/>
      <w:b/>
      <w:bCs/>
      <w:kern w:val="28"/>
      <w:sz w:val="32"/>
      <w:szCs w:val="32"/>
    </w:rPr>
  </w:style>
  <w:style w:type="character" w:customStyle="1" w:styleId="27">
    <w:name w:val="Title Char"/>
    <w:basedOn w:val="17"/>
    <w:link w:val="15"/>
    <w:qFormat/>
    <w:locked/>
    <w:uiPriority w:val="99"/>
    <w:rPr>
      <w:rFonts w:ascii="Cambria" w:hAnsi="Cambria" w:eastAsia="宋体" w:cs="Times New Roman"/>
      <w:b/>
      <w:bCs/>
      <w:sz w:val="32"/>
      <w:szCs w:val="32"/>
    </w:rPr>
  </w:style>
  <w:style w:type="paragraph" w:styleId="28">
    <w:name w:val="List Paragraph"/>
    <w:basedOn w:val="1"/>
    <w:qFormat/>
    <w:uiPriority w:val="99"/>
    <w:pPr>
      <w:ind w:firstLine="420" w:firstLineChars="200"/>
    </w:pPr>
  </w:style>
  <w:style w:type="character" w:styleId="29">
    <w:name w:val="Placeholder Text"/>
    <w:basedOn w:val="17"/>
    <w:semiHidden/>
    <w:qFormat/>
    <w:uiPriority w:val="99"/>
    <w:rPr>
      <w:rFonts w:cs="Times New Roman"/>
      <w:color w:val="808080"/>
    </w:rPr>
  </w:style>
  <w:style w:type="paragraph" w:customStyle="1" w:styleId="30">
    <w:name w:val="TOC 标题1"/>
    <w:basedOn w:val="4"/>
    <w:next w:val="1"/>
    <w:uiPriority w:val="99"/>
    <w:pPr>
      <w:widowControl/>
      <w:spacing w:before="240" w:after="0" w:line="259" w:lineRule="auto"/>
      <w:jc w:val="left"/>
      <w:outlineLvl w:val="9"/>
    </w:pPr>
    <w:rPr>
      <w:rFonts w:ascii="Cambria" w:hAnsi="Cambria" w:cs="Times New Roman"/>
      <w:b w:val="0"/>
      <w:bCs w:val="0"/>
      <w:color w:val="365F91"/>
      <w:kern w:val="0"/>
      <w:sz w:val="32"/>
      <w:szCs w:val="32"/>
    </w:rPr>
  </w:style>
  <w:style w:type="paragraph" w:customStyle="1" w:styleId="31">
    <w:name w:val="闻政-正文段落文字"/>
    <w:basedOn w:val="1"/>
    <w:qFormat/>
    <w:uiPriority w:val="99"/>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31</Pages>
  <Words>14186</Words>
  <Characters>14951</Characters>
  <Lines>0</Lines>
  <Paragraphs>0</Paragraphs>
  <TotalTime>6</TotalTime>
  <ScaleCrop>false</ScaleCrop>
  <LinksUpToDate>false</LinksUpToDate>
  <CharactersWithSpaces>15095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2022-05-26T10:16:24Z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